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6FA33885" w14:textId="31D54EDC" w:rsidR="003B5DC9" w:rsidRPr="005E6E4E" w:rsidRDefault="003B5DC9"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Director of Internal Service Delivery (Civil)</w:t>
                              </w:r>
                            </w:p>
                            <w:p w14:paraId="25B72CB8" w14:textId="7489645D" w:rsidR="003B5DC9" w:rsidRPr="005E6E4E" w:rsidRDefault="003B5DC9"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6FA33885" w14:textId="31D54EDC" w:rsidR="003B5DC9" w:rsidRPr="005E6E4E" w:rsidRDefault="003B5DC9"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Director of Internal Service Delivery (Civil)</w:t>
                        </w:r>
                      </w:p>
                      <w:p w14:paraId="25B72CB8" w14:textId="7489645D" w:rsidR="003B5DC9" w:rsidRPr="005E6E4E" w:rsidRDefault="003B5DC9"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667CB1CD" w:rsidR="00D0056F" w:rsidRPr="00D307B7" w:rsidRDefault="00D307B7" w:rsidP="00D0056F">
            <w:pPr>
              <w:spacing w:before="360" w:after="480"/>
              <w:ind w:left="284" w:right="284"/>
              <w:rPr>
                <w:b/>
                <w:bCs/>
                <w:color w:val="FFFFFF" w:themeColor="background1"/>
                <w:sz w:val="44"/>
                <w:szCs w:val="44"/>
              </w:rPr>
            </w:pPr>
            <w:r w:rsidRPr="00D307B7">
              <w:rPr>
                <w:b/>
                <w:bCs/>
                <w:color w:val="FFFFFF" w:themeColor="background1"/>
                <w:sz w:val="44"/>
                <w:szCs w:val="44"/>
              </w:rPr>
              <w:lastRenderedPageBreak/>
              <w:t>Director of Internal Service Delivery (Civil)</w:t>
            </w:r>
          </w:p>
        </w:tc>
      </w:tr>
    </w:tbl>
    <w:p w14:paraId="105B7CA8" w14:textId="77777777" w:rsidR="000A1875" w:rsidRPr="000A1875" w:rsidRDefault="000A1875" w:rsidP="00395D94">
      <w:pPr>
        <w:pStyle w:val="LABSection"/>
        <w:rPr>
          <w:sz w:val="16"/>
          <w:szCs w:val="16"/>
        </w:rPr>
      </w:pPr>
    </w:p>
    <w:p w14:paraId="6CF15818" w14:textId="65A587CE" w:rsidR="002363EE" w:rsidRPr="002363EE" w:rsidRDefault="002363EE" w:rsidP="00395D94">
      <w:pPr>
        <w:pStyle w:val="LABSection"/>
      </w:pPr>
      <w:r w:rsidRPr="002363EE">
        <w:t>The Legal Aid Board</w:t>
      </w:r>
    </w:p>
    <w:p w14:paraId="01CD877C" w14:textId="77777777" w:rsidR="002363EE" w:rsidRPr="00B175BA" w:rsidRDefault="002363EE" w:rsidP="00B175BA">
      <w:pPr>
        <w:pStyle w:val="LABBody10pt"/>
      </w:pPr>
      <w:r w:rsidRPr="00B175BA">
        <w:t>The Legal Aid Board is an independent, publicly funded organisation. It has been in existence since 1979 and was set up as a statutory body on foot of the Civil Legal Aid Act 1995. The Board’s statutory remit was widened in 2011 to include responsibility for providing a family mediation service. The Board is also responsible for the administration of three ad hoc Schemes namely the Garda Station Legal Advice Scheme, the Criminal Assets Bureau Legal Aid Scheme and the Legal Aid Custody Issues Scheme.</w:t>
      </w:r>
    </w:p>
    <w:p w14:paraId="0BD340C5" w14:textId="77777777" w:rsidR="003B5DC9" w:rsidRDefault="002363EE" w:rsidP="00B175BA">
      <w:pPr>
        <w:pStyle w:val="LABBody10pt"/>
      </w:pPr>
      <w:r w:rsidRPr="00B175BA">
        <w:t>The Board's Mission Statement, set out in its Statement of Strategy 2021-2023, is</w:t>
      </w:r>
    </w:p>
    <w:p w14:paraId="3EC457FA" w14:textId="77777777" w:rsidR="003B5DC9" w:rsidRDefault="002363EE" w:rsidP="003B5DC9">
      <w:pPr>
        <w:pStyle w:val="LABBody10pt"/>
        <w:ind w:left="720"/>
      </w:pPr>
      <w:r w:rsidRPr="00B175BA">
        <w:t xml:space="preserve"> "To deliver timely effective inclusive and just resolution of family and civil disputes to those most in need of our assistance through high quality legal representation and advice and / or mediation and to manage other aspects of legal aid which have been entrusted to us.”</w:t>
      </w:r>
    </w:p>
    <w:p w14:paraId="79A853D1" w14:textId="188B5143" w:rsidR="002363EE" w:rsidRDefault="002363EE" w:rsidP="00B175BA">
      <w:pPr>
        <w:pStyle w:val="LABBody10pt"/>
      </w:pPr>
      <w:r w:rsidRPr="00B175BA">
        <w:t>The Statement of Strategy sets out a number of steps that the Board has adopted in order to achieve the objective set out in its Mission Statement</w:t>
      </w:r>
      <w:r w:rsidR="00661C1F">
        <w:t xml:space="preserve">.  </w:t>
      </w:r>
      <w:r w:rsidRPr="00B175BA">
        <w:t>The Board itself consists of a chairperson and twelve ordinary members. They are appointed by the Minister for Justice and have a five-year term of office.</w:t>
      </w:r>
    </w:p>
    <w:p w14:paraId="0F380E09" w14:textId="0797F425" w:rsidR="00661C1F" w:rsidRDefault="002363EE" w:rsidP="00B175BA">
      <w:pPr>
        <w:pStyle w:val="LABBody10pt"/>
      </w:pPr>
      <w:r w:rsidRPr="00B175BA">
        <w:t>The Board has thirty three full time law centres located throughout the country</w:t>
      </w:r>
      <w:r w:rsidR="00FA02E7">
        <w:t xml:space="preserve">. </w:t>
      </w:r>
      <w:r w:rsidR="00FA02E7" w:rsidRPr="00B175BA">
        <w:t xml:space="preserve">Family </w:t>
      </w:r>
      <w:r w:rsidR="00FA02E7">
        <w:t>m</w:t>
      </w:r>
      <w:r w:rsidR="00FA02E7" w:rsidRPr="00B175BA">
        <w:t xml:space="preserve">ediation services are provided from </w:t>
      </w:r>
      <w:r w:rsidR="003B5DC9">
        <w:t xml:space="preserve">sixteen </w:t>
      </w:r>
      <w:r w:rsidR="00FA02E7" w:rsidRPr="00B175BA">
        <w:t>locations, a number of which are co-located or in the process of being co-located with law centres.</w:t>
      </w:r>
      <w:r w:rsidR="00FA02E7">
        <w:t xml:space="preserve">  The Board operates </w:t>
      </w:r>
      <w:r w:rsidRPr="00B175BA">
        <w:t xml:space="preserve">a Private Practitioner Service, a Refugee Documentation Centre and a library service. </w:t>
      </w:r>
      <w:r w:rsidR="007664B1">
        <w:t xml:space="preserve"> </w:t>
      </w:r>
    </w:p>
    <w:p w14:paraId="74C2E192" w14:textId="7548FB07" w:rsidR="00661C1F" w:rsidRDefault="00661C1F" w:rsidP="00661C1F">
      <w:pPr>
        <w:pStyle w:val="LABBody10pt"/>
      </w:pPr>
      <w:r>
        <w:t xml:space="preserve">The </w:t>
      </w:r>
      <w:r w:rsidR="00AF1677">
        <w:t xml:space="preserve">role </w:t>
      </w:r>
      <w:r w:rsidR="006E2602">
        <w:t xml:space="preserve">we are seeking to fill, the Director of Internal Service Delivery (Civil) </w:t>
      </w:r>
      <w:r w:rsidR="00AF1677">
        <w:t xml:space="preserve">is challenging and exciting and the </w:t>
      </w:r>
      <w:r>
        <w:t>successful candidate</w:t>
      </w:r>
      <w:r w:rsidR="004232FB">
        <w:t xml:space="preserve"> </w:t>
      </w:r>
      <w:r>
        <w:t xml:space="preserve">can expect to be involved in leading teams of people to deliver a professional service </w:t>
      </w:r>
      <w:r w:rsidR="00E02546">
        <w:t xml:space="preserve">and </w:t>
      </w:r>
      <w:r w:rsidR="003B5DC9">
        <w:t xml:space="preserve">contribute to the strategic direction and overall management of the </w:t>
      </w:r>
      <w:r w:rsidR="00E02546">
        <w:t>organisation</w:t>
      </w:r>
      <w:r w:rsidR="003B5DC9">
        <w:t>.</w:t>
      </w:r>
      <w:r w:rsidR="00E02546">
        <w:t xml:space="preserve">  </w:t>
      </w:r>
      <w:r>
        <w:t xml:space="preserve"> </w:t>
      </w:r>
    </w:p>
    <w:p w14:paraId="2C8A6421" w14:textId="1A269550" w:rsidR="00661C1F" w:rsidRPr="00B175BA" w:rsidRDefault="00661C1F" w:rsidP="00661C1F">
      <w:pPr>
        <w:pStyle w:val="LABBody10pt"/>
      </w:pPr>
      <w:r w:rsidRPr="00B175BA">
        <w:t>The Board has an ex</w:t>
      </w:r>
      <w:r w:rsidR="00E02546">
        <w:t>e</w:t>
      </w:r>
      <w:r w:rsidRPr="00B175BA">
        <w:t xml:space="preserve">cutive management structure primarily located at its Head Office at Quay St, Cahirciveen, Co Kerry and also at an office at 48/49 North Brunswick St, George’s Lane, Smithfield, Dublin 7. </w:t>
      </w:r>
      <w:r>
        <w:t xml:space="preserve">  </w:t>
      </w:r>
      <w:r w:rsidRPr="00B175BA">
        <w:t>The successful candidate may be required to spend significant amounts of time, COVID-19 permitting, in the Board’s aforementioned Smithfield office</w:t>
      </w:r>
      <w:r w:rsidR="00E02546">
        <w:t xml:space="preserve"> and make periodic visits to Board offices and Head Office, Cahirciveen.  </w:t>
      </w:r>
      <w:r w:rsidRPr="00B175BA">
        <w:t>The Board may consider facilitating the successful candidate in operating from one of its other offices if it considers it feasible to do so.</w:t>
      </w:r>
      <w:r>
        <w:t xml:space="preserve">  </w:t>
      </w:r>
    </w:p>
    <w:p w14:paraId="458B5B87" w14:textId="51CC5D82" w:rsidR="002363EE" w:rsidRPr="00B175BA" w:rsidRDefault="00661C1F" w:rsidP="00B175BA">
      <w:pPr>
        <w:pStyle w:val="LABBody10pt"/>
      </w:pPr>
      <w:r>
        <w:t>T</w:t>
      </w:r>
      <w:r w:rsidR="001A63B7">
        <w:t>he successful candidate will be required to make p</w:t>
      </w:r>
      <w:r w:rsidR="007664B1">
        <w:t xml:space="preserve">eriodic visits </w:t>
      </w:r>
      <w:r w:rsidR="001A63B7">
        <w:t xml:space="preserve">Board offices and </w:t>
      </w:r>
      <w:r w:rsidR="007664B1">
        <w:t>Head Office, Cahirciveen</w:t>
      </w:r>
      <w:r w:rsidR="001A63B7">
        <w:t>.</w:t>
      </w:r>
      <w:r w:rsidR="007664B1">
        <w:t xml:space="preserve"> </w:t>
      </w:r>
    </w:p>
    <w:p w14:paraId="3E82A0C5" w14:textId="48BE5080" w:rsidR="002363EE" w:rsidRPr="00B175BA" w:rsidRDefault="002363EE" w:rsidP="00B175BA">
      <w:pPr>
        <w:pStyle w:val="LABBody10pt"/>
      </w:pPr>
      <w:r w:rsidRPr="00B175BA">
        <w:t xml:space="preserve">More details about the Legal Aid Board can be obtained by accessing the Board’s website </w:t>
      </w:r>
      <w:hyperlink r:id="rId10"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318B6F0A" w14:textId="4ACB8B6A" w:rsidR="002363EE" w:rsidRPr="00395D94" w:rsidRDefault="002363EE" w:rsidP="00B175BA">
      <w:pPr>
        <w:pStyle w:val="LABSection"/>
      </w:pPr>
      <w:r w:rsidRPr="000532E7">
        <w:lastRenderedPageBreak/>
        <w:t>Overview of the Role</w:t>
      </w:r>
    </w:p>
    <w:p w14:paraId="3F043F64" w14:textId="761619FA" w:rsidR="00E40E62" w:rsidRPr="00D35874" w:rsidRDefault="009B468C" w:rsidP="00A64463">
      <w:pPr>
        <w:pStyle w:val="Smallheadingorange"/>
      </w:pPr>
      <w:r w:rsidRPr="00D35874">
        <w:t xml:space="preserve">The Key Features </w:t>
      </w:r>
      <w:r w:rsidR="00A64463">
        <w:t>o</w:t>
      </w:r>
      <w:r w:rsidRPr="00D35874">
        <w:t xml:space="preserve">f </w:t>
      </w:r>
      <w:r w:rsidR="00A64463">
        <w:t>t</w:t>
      </w:r>
      <w:r w:rsidRPr="00D35874">
        <w:t>he Role are to:</w:t>
      </w:r>
    </w:p>
    <w:p w14:paraId="12AD3BA6" w14:textId="403BBFFA" w:rsidR="006E2602" w:rsidRPr="006E2602" w:rsidRDefault="00FA02E7" w:rsidP="009B468C">
      <w:pPr>
        <w:pStyle w:val="LABBullets"/>
        <w:rPr>
          <w:color w:val="000000"/>
          <w:lang w:eastAsia="en-US"/>
        </w:rPr>
      </w:pPr>
      <w:r>
        <w:rPr>
          <w:lang w:eastAsia="en-US"/>
        </w:rPr>
        <w:t>M</w:t>
      </w:r>
      <w:r w:rsidR="00D307B7" w:rsidRPr="00FD2E3A">
        <w:rPr>
          <w:lang w:eastAsia="en-US"/>
        </w:rPr>
        <w:t>anage performance and risk across the Legal Aid Board’s network of law centres, so as to maximise the throughput of cases consistent with the delivery of a professional service</w:t>
      </w:r>
      <w:r w:rsidR="006E2602">
        <w:rPr>
          <w:lang w:eastAsia="en-US"/>
        </w:rPr>
        <w:t>;</w:t>
      </w:r>
    </w:p>
    <w:p w14:paraId="13206E58" w14:textId="69415B67" w:rsidR="00E40E62" w:rsidRDefault="006E2602" w:rsidP="009B468C">
      <w:pPr>
        <w:pStyle w:val="LABBullets"/>
        <w:rPr>
          <w:color w:val="000000"/>
          <w:lang w:eastAsia="en-US"/>
        </w:rPr>
      </w:pPr>
      <w:r>
        <w:rPr>
          <w:color w:val="000000"/>
          <w:lang w:eastAsia="en-US"/>
        </w:rPr>
        <w:t>E</w:t>
      </w:r>
      <w:r w:rsidR="00D307B7" w:rsidRPr="00E40E62">
        <w:rPr>
          <w:color w:val="000000"/>
          <w:lang w:eastAsia="en-US"/>
        </w:rPr>
        <w:t>nsure that robust quality assurance procedures are in place governing the provision of services in the Board’s law centre network and are fully implemented;</w:t>
      </w:r>
    </w:p>
    <w:p w14:paraId="2157EA58" w14:textId="12D90AD5" w:rsidR="00E40E62" w:rsidRDefault="00FA02E7" w:rsidP="009B468C">
      <w:pPr>
        <w:pStyle w:val="LABBullets"/>
        <w:rPr>
          <w:color w:val="000000"/>
          <w:lang w:eastAsia="en-US"/>
        </w:rPr>
      </w:pPr>
      <w:r>
        <w:rPr>
          <w:color w:val="000000"/>
          <w:lang w:eastAsia="en-US"/>
        </w:rPr>
        <w:t>D</w:t>
      </w:r>
      <w:r w:rsidR="00D307B7" w:rsidRPr="000532E7">
        <w:rPr>
          <w:color w:val="000000"/>
          <w:lang w:eastAsia="en-US"/>
        </w:rPr>
        <w:t xml:space="preserve">evelop proposals for new policies, </w:t>
      </w:r>
      <w:r w:rsidR="00E40E62">
        <w:rPr>
          <w:color w:val="000000"/>
          <w:lang w:eastAsia="en-US"/>
        </w:rPr>
        <w:t>p</w:t>
      </w:r>
      <w:r w:rsidR="00D307B7" w:rsidRPr="000532E7">
        <w:rPr>
          <w:color w:val="000000"/>
          <w:lang w:eastAsia="en-US"/>
        </w:rPr>
        <w:t>rocedures and approaches to service delivery in respect of legal services and take a leadership role in their implementation;</w:t>
      </w:r>
    </w:p>
    <w:p w14:paraId="2BB068F0" w14:textId="2B813C6F" w:rsidR="00E40E62" w:rsidRDefault="00FA02E7" w:rsidP="009B468C">
      <w:pPr>
        <w:pStyle w:val="LABBullets"/>
        <w:rPr>
          <w:color w:val="000000"/>
          <w:lang w:eastAsia="en-US"/>
        </w:rPr>
      </w:pPr>
      <w:r>
        <w:rPr>
          <w:color w:val="000000"/>
          <w:lang w:eastAsia="en-US"/>
        </w:rPr>
        <w:t>L</w:t>
      </w:r>
      <w:r w:rsidR="00D307B7" w:rsidRPr="000532E7">
        <w:rPr>
          <w:color w:val="000000"/>
          <w:lang w:eastAsia="en-US"/>
        </w:rPr>
        <w:t>ead and manage change and innovation relating to the development and delivery of the Board’s legal services;</w:t>
      </w:r>
    </w:p>
    <w:p w14:paraId="75AD5B0F" w14:textId="17F84ADD" w:rsidR="00D307B7" w:rsidRPr="000532E7" w:rsidRDefault="00FA02E7" w:rsidP="009B468C">
      <w:pPr>
        <w:pStyle w:val="LABBullets"/>
        <w:rPr>
          <w:color w:val="000000"/>
          <w:lang w:eastAsia="en-US"/>
        </w:rPr>
      </w:pPr>
      <w:r>
        <w:rPr>
          <w:color w:val="000000"/>
          <w:lang w:eastAsia="en-US"/>
        </w:rPr>
        <w:t>R</w:t>
      </w:r>
      <w:r w:rsidR="00D307B7" w:rsidRPr="000532E7">
        <w:rPr>
          <w:color w:val="000000"/>
          <w:lang w:eastAsia="en-US"/>
        </w:rPr>
        <w:t>eport to and advise the Chief Executive and the Board on matters within the remit of the position;</w:t>
      </w:r>
    </w:p>
    <w:p w14:paraId="7D2DE491" w14:textId="2B5CC047" w:rsidR="00E40E62" w:rsidRDefault="00FA02E7" w:rsidP="009B468C">
      <w:pPr>
        <w:pStyle w:val="LABBullets"/>
        <w:rPr>
          <w:color w:val="000000"/>
          <w:lang w:eastAsia="en-US"/>
        </w:rPr>
      </w:pPr>
      <w:r>
        <w:rPr>
          <w:color w:val="000000"/>
          <w:lang w:eastAsia="en-US"/>
        </w:rPr>
        <w:t>S</w:t>
      </w:r>
      <w:r w:rsidR="00D307B7" w:rsidRPr="000532E7">
        <w:rPr>
          <w:color w:val="000000"/>
          <w:lang w:eastAsia="en-US"/>
        </w:rPr>
        <w:t xml:space="preserve">erve on the Board’s Management Team and </w:t>
      </w:r>
      <w:r w:rsidR="00D307B7" w:rsidRPr="00FD2E3A">
        <w:rPr>
          <w:color w:val="000000"/>
          <w:lang w:eastAsia="en-US"/>
        </w:rPr>
        <w:t>proactively contribute to the strategic direction and overall management of the organisation;</w:t>
      </w:r>
    </w:p>
    <w:p w14:paraId="76CB8BA4" w14:textId="20491BEB" w:rsidR="00D307B7" w:rsidRDefault="00FA02E7" w:rsidP="009B468C">
      <w:pPr>
        <w:pStyle w:val="LABBullets"/>
        <w:rPr>
          <w:color w:val="000000"/>
          <w:lang w:eastAsia="en-US"/>
        </w:rPr>
      </w:pPr>
      <w:r>
        <w:rPr>
          <w:color w:val="000000"/>
          <w:lang w:eastAsia="en-US"/>
        </w:rPr>
        <w:t>R</w:t>
      </w:r>
      <w:r w:rsidR="00D307B7" w:rsidRPr="00FD2E3A">
        <w:rPr>
          <w:color w:val="000000"/>
          <w:lang w:eastAsia="en-US"/>
        </w:rPr>
        <w:t xml:space="preserve">epresent </w:t>
      </w:r>
      <w:r w:rsidR="00D307B7">
        <w:rPr>
          <w:color w:val="000000"/>
          <w:lang w:eastAsia="en-US"/>
        </w:rPr>
        <w:t xml:space="preserve">and promote the interests of </w:t>
      </w:r>
      <w:r w:rsidR="00D307B7" w:rsidRPr="00FD2E3A">
        <w:rPr>
          <w:color w:val="000000"/>
          <w:lang w:eastAsia="en-US"/>
        </w:rPr>
        <w:t>the Board with the Department of Justice, other agencies and stakeholders generally, as required</w:t>
      </w:r>
      <w:r>
        <w:rPr>
          <w:color w:val="000000"/>
          <w:lang w:eastAsia="en-US"/>
        </w:rPr>
        <w:t>;</w:t>
      </w:r>
    </w:p>
    <w:p w14:paraId="07FFF2BB" w14:textId="41983294" w:rsidR="00FA02E7" w:rsidRPr="00FD2E3A" w:rsidRDefault="00FA02E7" w:rsidP="009B468C">
      <w:pPr>
        <w:pStyle w:val="LABBullets"/>
        <w:rPr>
          <w:color w:val="000000"/>
          <w:lang w:eastAsia="en-US"/>
        </w:rPr>
      </w:pPr>
      <w:r>
        <w:rPr>
          <w:color w:val="000000"/>
          <w:lang w:eastAsia="en-US"/>
        </w:rPr>
        <w:t>Attend as required the law centre locations</w:t>
      </w:r>
      <w:r w:rsidR="00C1193D">
        <w:rPr>
          <w:color w:val="000000"/>
          <w:lang w:eastAsia="en-US"/>
        </w:rPr>
        <w:t xml:space="preserve"> </w:t>
      </w:r>
      <w:r>
        <w:rPr>
          <w:color w:val="000000"/>
          <w:lang w:eastAsia="en-US"/>
        </w:rPr>
        <w:t xml:space="preserve">in order to carry out their role. </w:t>
      </w:r>
    </w:p>
    <w:p w14:paraId="345A9654" w14:textId="7D3902E7" w:rsidR="002363EE" w:rsidRPr="002363EE" w:rsidRDefault="002363EE" w:rsidP="00B175BA">
      <w:pPr>
        <w:pStyle w:val="Smallheadingorange"/>
      </w:pPr>
      <w:r w:rsidRPr="000532E7">
        <w:t>Essential Entry Requiremen</w:t>
      </w:r>
      <w:r w:rsidRPr="009B468C">
        <w:rPr>
          <w:color w:val="E36C0A" w:themeColor="accent6" w:themeShade="BF"/>
        </w:rPr>
        <w:t>ts</w:t>
      </w:r>
      <w:r w:rsidR="008F222D">
        <w:rPr>
          <w:color w:val="E36C0A" w:themeColor="accent6" w:themeShade="BF"/>
        </w:rPr>
        <w:t>, Experience and Attributes</w:t>
      </w:r>
      <w:r w:rsidRPr="000532E7">
        <w:t>:</w:t>
      </w:r>
    </w:p>
    <w:p w14:paraId="4F05391E" w14:textId="04704A64" w:rsidR="009B468C" w:rsidRPr="000532E7" w:rsidRDefault="009B468C" w:rsidP="009B468C">
      <w:pPr>
        <w:pStyle w:val="BodyText"/>
        <w:tabs>
          <w:tab w:val="left" w:pos="-720"/>
          <w:tab w:val="left" w:pos="540"/>
          <w:tab w:val="left" w:pos="720"/>
          <w:tab w:val="left" w:pos="851"/>
        </w:tabs>
        <w:suppressAutoHyphens/>
        <w:spacing w:line="276" w:lineRule="auto"/>
        <w:rPr>
          <w:rFonts w:ascii="Arial" w:hAnsi="Arial" w:cs="Arial"/>
          <w:sz w:val="20"/>
        </w:rPr>
      </w:pPr>
      <w:r w:rsidRPr="000532E7">
        <w:rPr>
          <w:rFonts w:ascii="Arial" w:hAnsi="Arial" w:cs="Arial"/>
          <w:sz w:val="20"/>
        </w:rPr>
        <w:t>Candidates must have</w:t>
      </w:r>
      <w:r w:rsidR="002572CB">
        <w:rPr>
          <w:rFonts w:ascii="Arial" w:hAnsi="Arial" w:cs="Arial"/>
          <w:sz w:val="20"/>
        </w:rPr>
        <w:t xml:space="preserve"> at the closing date for this competition: </w:t>
      </w:r>
    </w:p>
    <w:p w14:paraId="166D0161" w14:textId="77777777" w:rsidR="009B468C" w:rsidRPr="000532E7" w:rsidRDefault="009B468C" w:rsidP="009B468C">
      <w:pPr>
        <w:pStyle w:val="ListParagraph"/>
        <w:spacing w:line="276" w:lineRule="auto"/>
        <w:ind w:left="1080"/>
        <w:contextualSpacing w:val="0"/>
        <w:rPr>
          <w:rFonts w:cs="Arial"/>
        </w:rPr>
      </w:pPr>
    </w:p>
    <w:p w14:paraId="6EDA92AB" w14:textId="5C5733D8" w:rsidR="009B468C" w:rsidRDefault="00F24933" w:rsidP="009B468C">
      <w:pPr>
        <w:pStyle w:val="LABBullets"/>
      </w:pPr>
      <w:r>
        <w:t xml:space="preserve">Five </w:t>
      </w:r>
      <w:r w:rsidR="009B468C">
        <w:t>years experience as a practising solicitor or barrister;</w:t>
      </w:r>
    </w:p>
    <w:p w14:paraId="52399F4F" w14:textId="77777777" w:rsidR="009B468C" w:rsidRPr="000532E7" w:rsidRDefault="009B468C" w:rsidP="009B468C">
      <w:pPr>
        <w:pStyle w:val="LABBullets"/>
      </w:pPr>
      <w:r>
        <w:t>A</w:t>
      </w:r>
      <w:r w:rsidRPr="000532E7">
        <w:t xml:space="preserve"> strong background and familiarity with the law and the delivery of legal services;</w:t>
      </w:r>
    </w:p>
    <w:p w14:paraId="07A176D7" w14:textId="416102D8" w:rsidR="009B468C" w:rsidRPr="000532E7" w:rsidRDefault="009B468C" w:rsidP="009B468C">
      <w:pPr>
        <w:pStyle w:val="LABBullets"/>
      </w:pPr>
      <w:r w:rsidRPr="000532E7">
        <w:t xml:space="preserve">A proven level of </w:t>
      </w:r>
      <w:r w:rsidR="00F24933">
        <w:t xml:space="preserve">leadership and </w:t>
      </w:r>
      <w:r w:rsidRPr="000532E7">
        <w:t>management experience in the public or private sector demonstrating a capacity to lead and manage a dispersed network of offices and staff;</w:t>
      </w:r>
    </w:p>
    <w:p w14:paraId="5858C11D" w14:textId="77777777" w:rsidR="009B468C" w:rsidRPr="000532E7" w:rsidRDefault="009B468C" w:rsidP="009B468C">
      <w:pPr>
        <w:pStyle w:val="LABBullets"/>
      </w:pPr>
      <w:r w:rsidRPr="000532E7">
        <w:t xml:space="preserve">Excellent advocacy skills; </w:t>
      </w:r>
    </w:p>
    <w:p w14:paraId="06A733C5" w14:textId="029A0C1B" w:rsidR="002572CB" w:rsidRDefault="002572CB" w:rsidP="009B468C">
      <w:pPr>
        <w:pStyle w:val="LABBullets"/>
      </w:pPr>
      <w:r>
        <w:t>Demonstrate they possess the skills and competencies identified as being important for the role</w:t>
      </w:r>
      <w:r w:rsidR="00E02546">
        <w:t>:</w:t>
      </w:r>
    </w:p>
    <w:p w14:paraId="0F9E6D09" w14:textId="77777777" w:rsidR="002572CB" w:rsidRDefault="002572CB" w:rsidP="001F5F03">
      <w:pPr>
        <w:pStyle w:val="LABBullets"/>
        <w:numPr>
          <w:ilvl w:val="1"/>
          <w:numId w:val="16"/>
        </w:numPr>
      </w:pPr>
      <w:r>
        <w:t>Leadership &amp; Strategic Direction</w:t>
      </w:r>
    </w:p>
    <w:p w14:paraId="1463A57B" w14:textId="77777777" w:rsidR="002572CB" w:rsidRDefault="002572CB" w:rsidP="001F5F03">
      <w:pPr>
        <w:pStyle w:val="LABBullets"/>
        <w:numPr>
          <w:ilvl w:val="1"/>
          <w:numId w:val="16"/>
        </w:numPr>
      </w:pPr>
      <w:r>
        <w:t>Judgement &amp; Decision Making</w:t>
      </w:r>
    </w:p>
    <w:p w14:paraId="7A544A08" w14:textId="77777777" w:rsidR="002572CB" w:rsidRDefault="002572CB" w:rsidP="001F5F03">
      <w:pPr>
        <w:pStyle w:val="LABBullets"/>
        <w:numPr>
          <w:ilvl w:val="1"/>
          <w:numId w:val="16"/>
        </w:numPr>
      </w:pPr>
      <w:r>
        <w:t>Management &amp; Delivery of Results</w:t>
      </w:r>
    </w:p>
    <w:p w14:paraId="044E8AF2" w14:textId="77777777" w:rsidR="002572CB" w:rsidRDefault="002572CB" w:rsidP="001F5F03">
      <w:pPr>
        <w:pStyle w:val="LABBullets"/>
        <w:numPr>
          <w:ilvl w:val="1"/>
          <w:numId w:val="16"/>
        </w:numPr>
      </w:pPr>
      <w:r>
        <w:t>Building Relationships &amp; Communication</w:t>
      </w:r>
    </w:p>
    <w:p w14:paraId="12AED36D" w14:textId="77777777" w:rsidR="002572CB" w:rsidRDefault="002572CB" w:rsidP="001F5F03">
      <w:pPr>
        <w:pStyle w:val="LABBullets"/>
        <w:numPr>
          <w:ilvl w:val="1"/>
          <w:numId w:val="16"/>
        </w:numPr>
      </w:pPr>
      <w:r>
        <w:t>Specialist Knowledge, Expertise &amp; Self Development</w:t>
      </w:r>
    </w:p>
    <w:p w14:paraId="719D10CD" w14:textId="77777777" w:rsidR="002572CB" w:rsidRDefault="002572CB" w:rsidP="001F5F03">
      <w:pPr>
        <w:pStyle w:val="LABBullets"/>
        <w:numPr>
          <w:ilvl w:val="1"/>
          <w:numId w:val="16"/>
        </w:numPr>
      </w:pPr>
      <w:r>
        <w:t>Drive and Commitment to Public Service Values</w:t>
      </w:r>
    </w:p>
    <w:p w14:paraId="0F4341D5" w14:textId="77777777" w:rsidR="001F5F03" w:rsidRDefault="001F5F03" w:rsidP="001F5F03">
      <w:pPr>
        <w:pStyle w:val="LABBullets"/>
        <w:numPr>
          <w:ilvl w:val="0"/>
          <w:numId w:val="0"/>
        </w:numPr>
        <w:ind w:left="284" w:hanging="284"/>
      </w:pPr>
    </w:p>
    <w:p w14:paraId="5FF5596A" w14:textId="62E29014" w:rsidR="009B468C" w:rsidRPr="000532E7" w:rsidRDefault="009B468C" w:rsidP="00E02546">
      <w:pPr>
        <w:pStyle w:val="LABBullets"/>
      </w:pPr>
      <w:r w:rsidRPr="000532E7">
        <w:t>Demonstrate sound judgement, decisiveness, innovation and problem solving</w:t>
      </w:r>
      <w:r>
        <w:t xml:space="preserve"> </w:t>
      </w:r>
      <w:r w:rsidRPr="000532E7">
        <w:t>ability when dealing with complex legal matters;</w:t>
      </w:r>
    </w:p>
    <w:p w14:paraId="1A852C9A" w14:textId="77777777" w:rsidR="009B468C" w:rsidRPr="000532E7" w:rsidRDefault="009B468C" w:rsidP="009B468C">
      <w:pPr>
        <w:pStyle w:val="LABBullets"/>
      </w:pPr>
      <w:r w:rsidRPr="000532E7">
        <w:t>A proven ability to work in a demanding and pressurised environment and to manage competing priorities effectively;</w:t>
      </w:r>
    </w:p>
    <w:p w14:paraId="3EBA7785" w14:textId="77777777" w:rsidR="009B468C" w:rsidRPr="000532E7" w:rsidRDefault="009B468C" w:rsidP="009B468C">
      <w:pPr>
        <w:pStyle w:val="LABBullets"/>
      </w:pPr>
      <w:r w:rsidRPr="000532E7">
        <w:t>A proven ability to promote and develop excellent customer service;</w:t>
      </w:r>
    </w:p>
    <w:p w14:paraId="1287F659" w14:textId="77777777" w:rsidR="009B468C" w:rsidRPr="000532E7" w:rsidRDefault="009B468C" w:rsidP="009B468C">
      <w:pPr>
        <w:pStyle w:val="LABBullets"/>
      </w:pPr>
      <w:r w:rsidRPr="000532E7">
        <w:t>A capacity to drive the maximisation of use of ICT across a dispersed network of offices.</w:t>
      </w:r>
    </w:p>
    <w:p w14:paraId="1BE31169" w14:textId="77777777" w:rsidR="009B468C" w:rsidRDefault="009B468C" w:rsidP="000A1875">
      <w:pPr>
        <w:autoSpaceDE w:val="0"/>
        <w:autoSpaceDN w:val="0"/>
        <w:adjustRightInd w:val="0"/>
        <w:rPr>
          <w:rFonts w:cs="Arial"/>
        </w:rPr>
      </w:pPr>
    </w:p>
    <w:p w14:paraId="106C877D" w14:textId="02D6EA24" w:rsidR="000A1875" w:rsidRPr="000A1875" w:rsidRDefault="000A1875" w:rsidP="000A1875">
      <w:pPr>
        <w:autoSpaceDE w:val="0"/>
        <w:autoSpaceDN w:val="0"/>
        <w:adjustRightInd w:val="0"/>
        <w:rPr>
          <w:rFonts w:cs="Arial"/>
        </w:rPr>
      </w:pPr>
      <w:r w:rsidRPr="000A1875">
        <w:rPr>
          <w:rFonts w:cs="Arial"/>
        </w:rPr>
        <w:t xml:space="preserve">It will be a matter for the Legal Aid Board to determine the eligibility of candidates having regard to their qualifications and experience. </w:t>
      </w:r>
    </w:p>
    <w:p w14:paraId="36867F95" w14:textId="0EF7CCD5" w:rsidR="002363EE" w:rsidRPr="002363EE" w:rsidRDefault="002363EE" w:rsidP="00B175BA">
      <w:pPr>
        <w:pStyle w:val="LABSection"/>
      </w:pPr>
      <w:r w:rsidRPr="002363EE">
        <w:t>Competencies</w:t>
      </w:r>
    </w:p>
    <w:p w14:paraId="54E62D04" w14:textId="451D6AA9" w:rsidR="00D0056F" w:rsidRPr="00352568" w:rsidRDefault="002363EE" w:rsidP="00395D94">
      <w:pPr>
        <w:pStyle w:val="LABBody10pt"/>
        <w:rPr>
          <w:bCs/>
        </w:rPr>
      </w:pPr>
      <w:r w:rsidRPr="00352568">
        <w:rPr>
          <w:bCs/>
        </w:rPr>
        <w:t xml:space="preserve">The attention of candidates is drawn to the following key competencies that have been </w:t>
      </w:r>
      <w:r w:rsidR="001F5F03">
        <w:rPr>
          <w:bCs/>
        </w:rPr>
        <w:t xml:space="preserve">identified </w:t>
      </w:r>
      <w:r w:rsidRPr="00352568">
        <w:rPr>
          <w:bCs/>
        </w:rPr>
        <w:t xml:space="preserve">for the </w:t>
      </w:r>
      <w:r w:rsidR="00FA6356">
        <w:rPr>
          <w:bCs/>
        </w:rPr>
        <w:t>role</w:t>
      </w:r>
      <w:r w:rsidRPr="00352568">
        <w:rPr>
          <w:bCs/>
        </w:rPr>
        <w:t>:</w:t>
      </w:r>
    </w:p>
    <w:p w14:paraId="165039F0" w14:textId="28C396B9" w:rsidR="002363EE" w:rsidRPr="00B175BA" w:rsidRDefault="009B468C" w:rsidP="00B175BA">
      <w:pPr>
        <w:pStyle w:val="Smallheadingorange"/>
      </w:pPr>
      <w:r>
        <w:t>Leadership &amp; Strategic Direction</w:t>
      </w:r>
      <w:r w:rsidR="00D0056F">
        <w:t xml:space="preserve"> </w:t>
      </w:r>
    </w:p>
    <w:p w14:paraId="3DB98582" w14:textId="7E73007F" w:rsidR="009B468C" w:rsidRPr="00285E97" w:rsidRDefault="009B468C" w:rsidP="009B468C">
      <w:pPr>
        <w:pStyle w:val="LABBullets"/>
        <w:rPr>
          <w:lang w:eastAsia="en-US"/>
        </w:rPr>
      </w:pPr>
      <w:r w:rsidRPr="00285E97">
        <w:rPr>
          <w:lang w:eastAsia="en-US"/>
        </w:rPr>
        <w:t xml:space="preserve">Leads the team, setting high standards, tackling any performance problems </w:t>
      </w:r>
      <w:r w:rsidR="006E2602">
        <w:rPr>
          <w:lang w:eastAsia="en-US"/>
        </w:rPr>
        <w:t>and</w:t>
      </w:r>
      <w:r w:rsidRPr="00285E97">
        <w:rPr>
          <w:lang w:eastAsia="en-US"/>
        </w:rPr>
        <w:t xml:space="preserve"> facilitating high performance;</w:t>
      </w:r>
    </w:p>
    <w:p w14:paraId="1143A35F" w14:textId="77777777" w:rsidR="009B468C" w:rsidRPr="00285E97" w:rsidRDefault="009B468C" w:rsidP="009B468C">
      <w:pPr>
        <w:pStyle w:val="LABBullets"/>
        <w:rPr>
          <w:lang w:eastAsia="en-US"/>
        </w:rPr>
      </w:pPr>
      <w:r w:rsidRPr="00285E97">
        <w:rPr>
          <w:lang w:eastAsia="en-US"/>
        </w:rPr>
        <w:t>Facilitates an open exchange of ideas and fosters an atmosphere of open communication;</w:t>
      </w:r>
    </w:p>
    <w:p w14:paraId="6ADF3080" w14:textId="77777777" w:rsidR="009B468C" w:rsidRPr="00285E97" w:rsidRDefault="009B468C" w:rsidP="009B468C">
      <w:pPr>
        <w:pStyle w:val="LABBullets"/>
        <w:rPr>
          <w:lang w:eastAsia="en-US"/>
        </w:rPr>
      </w:pPr>
      <w:r w:rsidRPr="00285E97">
        <w:rPr>
          <w:lang w:eastAsia="en-US"/>
        </w:rPr>
        <w:t>Contributes to the shaping of strategy and policy in the organisation;</w:t>
      </w:r>
    </w:p>
    <w:p w14:paraId="0F549929" w14:textId="77777777" w:rsidR="009B468C" w:rsidRPr="00285E97" w:rsidRDefault="009B468C" w:rsidP="009B468C">
      <w:pPr>
        <w:pStyle w:val="LABBullets"/>
        <w:rPr>
          <w:lang w:eastAsia="en-US"/>
        </w:rPr>
      </w:pPr>
      <w:r w:rsidRPr="00285E97">
        <w:rPr>
          <w:lang w:eastAsia="en-US"/>
        </w:rPr>
        <w:t>Develops capability and capacity across the team through effective delegation;</w:t>
      </w:r>
    </w:p>
    <w:p w14:paraId="3B847AB5" w14:textId="77777777" w:rsidR="009B468C" w:rsidRPr="00285E97" w:rsidRDefault="009B468C" w:rsidP="009B468C">
      <w:pPr>
        <w:pStyle w:val="LABBullets"/>
        <w:rPr>
          <w:lang w:eastAsia="en-US"/>
        </w:rPr>
      </w:pPr>
      <w:r w:rsidRPr="00285E97">
        <w:rPr>
          <w:lang w:eastAsia="en-US"/>
        </w:rPr>
        <w:t>Develops a culture of learning &amp; development, offering coaching and constructive / supportive feedback;</w:t>
      </w:r>
    </w:p>
    <w:p w14:paraId="64645029" w14:textId="77777777" w:rsidR="009B468C" w:rsidRPr="00022140" w:rsidRDefault="009B468C" w:rsidP="009B468C">
      <w:pPr>
        <w:pStyle w:val="LABBullets"/>
        <w:rPr>
          <w:lang w:eastAsia="en-US"/>
        </w:rPr>
      </w:pPr>
      <w:r w:rsidRPr="00022140">
        <w:rPr>
          <w:lang w:eastAsia="en-US"/>
        </w:rPr>
        <w:t>Leads on preparing for, and implementing, significant change and reform;</w:t>
      </w:r>
    </w:p>
    <w:p w14:paraId="77643000" w14:textId="3C289401" w:rsidR="009B468C" w:rsidRPr="00022140" w:rsidRDefault="009B468C" w:rsidP="009B468C">
      <w:pPr>
        <w:pStyle w:val="LABBullets"/>
        <w:rPr>
          <w:lang w:eastAsia="en-US"/>
        </w:rPr>
      </w:pPr>
      <w:r w:rsidRPr="00022140">
        <w:rPr>
          <w:lang w:eastAsia="en-US"/>
        </w:rPr>
        <w:t>Anticipates and responds quickly to developments in the sector / broader environment;</w:t>
      </w:r>
    </w:p>
    <w:p w14:paraId="59925A8C" w14:textId="77777777" w:rsidR="009B468C" w:rsidRPr="00022140" w:rsidRDefault="009B468C" w:rsidP="009B468C">
      <w:pPr>
        <w:pStyle w:val="LABBullets"/>
        <w:rPr>
          <w:lang w:eastAsia="en-US"/>
        </w:rPr>
      </w:pPr>
      <w:r w:rsidRPr="00022140">
        <w:rPr>
          <w:lang w:eastAsia="en-US"/>
        </w:rPr>
        <w:t>Actively collaborates with Government Departments, agencies and other stakeholders.</w:t>
      </w:r>
    </w:p>
    <w:p w14:paraId="634563C4" w14:textId="5A64A9A2" w:rsidR="008712F7" w:rsidRPr="00022140" w:rsidRDefault="008712F7" w:rsidP="008712F7">
      <w:pPr>
        <w:pStyle w:val="Smallheadingorange"/>
        <w:rPr>
          <w:b w:val="0"/>
          <w:bCs w:val="0"/>
          <w:color w:val="000000"/>
        </w:rPr>
      </w:pPr>
      <w:r>
        <w:t xml:space="preserve">Judgement </w:t>
      </w:r>
      <w:r w:rsidR="002572CB">
        <w:t xml:space="preserve">&amp; </w:t>
      </w:r>
      <w:r>
        <w:t>Decision Making</w:t>
      </w:r>
    </w:p>
    <w:p w14:paraId="78115068" w14:textId="1CE706D8" w:rsidR="008712F7" w:rsidRPr="00022140" w:rsidRDefault="008712F7" w:rsidP="008712F7">
      <w:pPr>
        <w:pStyle w:val="LABBullets"/>
        <w:rPr>
          <w:lang w:eastAsia="en-US"/>
        </w:rPr>
      </w:pPr>
      <w:r w:rsidRPr="00022140">
        <w:rPr>
          <w:lang w:eastAsia="en-US"/>
        </w:rPr>
        <w:t>Identifies and focuses  </w:t>
      </w:r>
      <w:r>
        <w:rPr>
          <w:lang w:eastAsia="en-US"/>
        </w:rPr>
        <w:t>o</w:t>
      </w:r>
      <w:r w:rsidRPr="00022140">
        <w:rPr>
          <w:lang w:eastAsia="en-US"/>
        </w:rPr>
        <w:t>n core issues when</w:t>
      </w:r>
      <w:r>
        <w:rPr>
          <w:lang w:eastAsia="en-US"/>
        </w:rPr>
        <w:t xml:space="preserve"> </w:t>
      </w:r>
      <w:r w:rsidRPr="00022140">
        <w:rPr>
          <w:lang w:eastAsia="en-US"/>
        </w:rPr>
        <w:t>dealing with complex information / situations;</w:t>
      </w:r>
    </w:p>
    <w:p w14:paraId="4B46AFCC" w14:textId="77777777" w:rsidR="008712F7" w:rsidRPr="00022140" w:rsidRDefault="008712F7" w:rsidP="008712F7">
      <w:pPr>
        <w:pStyle w:val="LABBullets"/>
        <w:rPr>
          <w:lang w:eastAsia="en-US"/>
        </w:rPr>
      </w:pPr>
      <w:r w:rsidRPr="00022140">
        <w:rPr>
          <w:lang w:eastAsia="en-US"/>
        </w:rPr>
        <w:t>Assembles facts, manipulates verbal and numerical information and thinks through issues logically;</w:t>
      </w:r>
    </w:p>
    <w:p w14:paraId="71D31546" w14:textId="77777777" w:rsidR="008712F7" w:rsidRPr="00285E97" w:rsidRDefault="008712F7" w:rsidP="008712F7">
      <w:pPr>
        <w:pStyle w:val="LABBullets"/>
        <w:rPr>
          <w:lang w:eastAsia="en-US"/>
        </w:rPr>
      </w:pPr>
      <w:r w:rsidRPr="00285E97">
        <w:rPr>
          <w:lang w:eastAsia="en-US"/>
        </w:rPr>
        <w:t>Sees the relationships between issues and quickly grasps the high level implications for the organisation and other stakeholders;</w:t>
      </w:r>
    </w:p>
    <w:p w14:paraId="49E41B69" w14:textId="77777777" w:rsidR="008712F7" w:rsidRPr="00285E97" w:rsidRDefault="008712F7" w:rsidP="008712F7">
      <w:pPr>
        <w:pStyle w:val="LABBullets"/>
        <w:rPr>
          <w:lang w:eastAsia="en-US"/>
        </w:rPr>
      </w:pPr>
      <w:r w:rsidRPr="00285E97">
        <w:rPr>
          <w:lang w:eastAsia="en-US"/>
        </w:rPr>
        <w:t>Identifies coherent solutions to complex issues;</w:t>
      </w:r>
    </w:p>
    <w:p w14:paraId="4EFC6415" w14:textId="77777777" w:rsidR="008712F7" w:rsidRPr="00285E97" w:rsidRDefault="008712F7" w:rsidP="008712F7">
      <w:pPr>
        <w:pStyle w:val="LABBullets"/>
        <w:rPr>
          <w:lang w:eastAsia="en-US"/>
        </w:rPr>
      </w:pPr>
      <w:r w:rsidRPr="00285E97">
        <w:rPr>
          <w:lang w:eastAsia="en-US"/>
        </w:rPr>
        <w:t>Makes sound and well informed decisions, understanding their impact and implications;</w:t>
      </w:r>
    </w:p>
    <w:p w14:paraId="43986AC5" w14:textId="77777777" w:rsidR="008712F7" w:rsidRDefault="008712F7" w:rsidP="008712F7">
      <w:pPr>
        <w:pStyle w:val="LABBullets"/>
        <w:rPr>
          <w:color w:val="000000"/>
          <w:lang w:eastAsia="en-US"/>
        </w:rPr>
      </w:pPr>
      <w:r w:rsidRPr="00285E97">
        <w:rPr>
          <w:lang w:eastAsia="en-US"/>
        </w:rPr>
        <w:t>Takes action, making decisions in a timely manner and demonstrates the courage and resilience to see them through</w:t>
      </w:r>
      <w:r>
        <w:rPr>
          <w:color w:val="000000"/>
          <w:lang w:eastAsia="en-US"/>
        </w:rPr>
        <w:t>;</w:t>
      </w:r>
    </w:p>
    <w:p w14:paraId="4944EC0C" w14:textId="77777777" w:rsidR="008712F7" w:rsidRDefault="008712F7" w:rsidP="008712F7">
      <w:pPr>
        <w:pStyle w:val="LABBullets"/>
        <w:rPr>
          <w:color w:val="000000"/>
          <w:lang w:eastAsia="en-US"/>
        </w:rPr>
      </w:pPr>
      <w:r w:rsidRPr="00285E97">
        <w:rPr>
          <w:color w:val="000000"/>
          <w:lang w:eastAsia="en-US"/>
        </w:rPr>
        <w:t>Strives to effectively balance the sectoral issues, political elements and the citizen impact in all decisions.</w:t>
      </w:r>
    </w:p>
    <w:p w14:paraId="63448BC0" w14:textId="77777777" w:rsidR="008712F7" w:rsidRPr="008712F7" w:rsidRDefault="008712F7" w:rsidP="008712F7">
      <w:pPr>
        <w:pStyle w:val="Smallheadingorange"/>
      </w:pPr>
      <w:r w:rsidRPr="008712F7">
        <w:t>Management &amp; Delivery of Results</w:t>
      </w:r>
    </w:p>
    <w:p w14:paraId="57B229D4" w14:textId="77777777" w:rsidR="008712F7" w:rsidRPr="00285E97" w:rsidRDefault="008712F7" w:rsidP="008712F7">
      <w:pPr>
        <w:pStyle w:val="LABBullets"/>
        <w:rPr>
          <w:lang w:eastAsia="en-US"/>
        </w:rPr>
      </w:pPr>
      <w:r w:rsidRPr="00285E97">
        <w:rPr>
          <w:lang w:eastAsia="en-US"/>
        </w:rPr>
        <w:t>Initiates and takes personal responsibility for delivering results/services in own area;</w:t>
      </w:r>
    </w:p>
    <w:p w14:paraId="68FB8520" w14:textId="77777777" w:rsidR="008712F7" w:rsidRPr="00285E97" w:rsidRDefault="008712F7" w:rsidP="008712F7">
      <w:pPr>
        <w:pStyle w:val="LABBullets"/>
        <w:rPr>
          <w:lang w:eastAsia="en-US"/>
        </w:rPr>
      </w:pPr>
      <w:r w:rsidRPr="00285E97">
        <w:rPr>
          <w:lang w:eastAsia="en-US"/>
        </w:rPr>
        <w:t>Balances strategy and operational detail to meet business needs;</w:t>
      </w:r>
    </w:p>
    <w:p w14:paraId="142F1809" w14:textId="77777777" w:rsidR="008712F7" w:rsidRPr="00285E97" w:rsidRDefault="008712F7" w:rsidP="008712F7">
      <w:pPr>
        <w:pStyle w:val="LABBullets"/>
        <w:rPr>
          <w:lang w:eastAsia="en-US"/>
        </w:rPr>
      </w:pPr>
      <w:r w:rsidRPr="00285E97">
        <w:rPr>
          <w:lang w:eastAsia="en-US"/>
        </w:rPr>
        <w:t>Manages multiple agendas and tasks and reallocates resources to manage changes in focus;</w:t>
      </w:r>
    </w:p>
    <w:p w14:paraId="6DB9CAF6" w14:textId="77777777" w:rsidR="008712F7" w:rsidRPr="00285E97" w:rsidRDefault="008712F7" w:rsidP="008712F7">
      <w:pPr>
        <w:pStyle w:val="LABBullets"/>
        <w:rPr>
          <w:lang w:eastAsia="en-US"/>
        </w:rPr>
      </w:pPr>
      <w:r w:rsidRPr="00285E97">
        <w:rPr>
          <w:lang w:eastAsia="en-US"/>
        </w:rPr>
        <w:t>Makes optimum use of resources and implements performance measures to deliver on objectives;</w:t>
      </w:r>
    </w:p>
    <w:p w14:paraId="0BAC3A54" w14:textId="77777777" w:rsidR="008712F7" w:rsidRPr="00285E97" w:rsidRDefault="008712F7" w:rsidP="008712F7">
      <w:pPr>
        <w:pStyle w:val="LABBullets"/>
        <w:rPr>
          <w:lang w:eastAsia="en-US"/>
        </w:rPr>
      </w:pPr>
      <w:r w:rsidRPr="00285E97">
        <w:rPr>
          <w:lang w:eastAsia="en-US"/>
        </w:rPr>
        <w:t>Ensures the optimal use of ICT and new delivery models;</w:t>
      </w:r>
    </w:p>
    <w:p w14:paraId="69465ED6" w14:textId="77777777" w:rsidR="008712F7" w:rsidRPr="00285E97" w:rsidRDefault="008712F7" w:rsidP="008712F7">
      <w:pPr>
        <w:pStyle w:val="LABBullets"/>
        <w:rPr>
          <w:lang w:eastAsia="en-US"/>
        </w:rPr>
      </w:pPr>
      <w:r w:rsidRPr="00285E97">
        <w:rPr>
          <w:lang w:eastAsia="en-US"/>
        </w:rPr>
        <w:t>Critically reviews projects and activities to ensure their effectiveness and that they meet organisational requirements;</w:t>
      </w:r>
    </w:p>
    <w:p w14:paraId="4BB12C08" w14:textId="16032B47" w:rsidR="008712F7" w:rsidRPr="00285E97" w:rsidRDefault="008712F7" w:rsidP="008712F7">
      <w:pPr>
        <w:pStyle w:val="LABBullets"/>
        <w:rPr>
          <w:lang w:eastAsia="en-US"/>
        </w:rPr>
      </w:pPr>
      <w:r w:rsidRPr="00285E97">
        <w:rPr>
          <w:lang w:eastAsia="en-US"/>
        </w:rPr>
        <w:t>Instils the importance of efficiencies, value for money and meeting corporate governance requirements;</w:t>
      </w:r>
    </w:p>
    <w:p w14:paraId="66F30526" w14:textId="77777777" w:rsidR="008712F7" w:rsidRPr="00285E97" w:rsidRDefault="008712F7" w:rsidP="008712F7">
      <w:pPr>
        <w:pStyle w:val="LABBullets"/>
        <w:rPr>
          <w:lang w:eastAsia="en-US"/>
        </w:rPr>
      </w:pPr>
      <w:r w:rsidRPr="00285E97">
        <w:rPr>
          <w:lang w:eastAsia="en-US"/>
        </w:rPr>
        <w:t>Ensures team are focused and act on Business plan priorities, even when faced with pressure.</w:t>
      </w:r>
    </w:p>
    <w:p w14:paraId="45A6AA16" w14:textId="77777777" w:rsidR="001A63B7" w:rsidRDefault="001A63B7" w:rsidP="008A7CD9">
      <w:pPr>
        <w:pStyle w:val="Smallheadingorange"/>
      </w:pPr>
    </w:p>
    <w:p w14:paraId="429E66D1" w14:textId="77777777" w:rsidR="003D157B" w:rsidRPr="00285E97" w:rsidRDefault="003D157B" w:rsidP="008A7CD9">
      <w:pPr>
        <w:pStyle w:val="Smallheadingorange"/>
      </w:pPr>
      <w:r w:rsidRPr="00285E97">
        <w:t>Building Relationships &amp; Communication</w:t>
      </w:r>
    </w:p>
    <w:p w14:paraId="51DB2F33" w14:textId="77777777" w:rsidR="003D157B" w:rsidRPr="00285E97" w:rsidRDefault="003D157B" w:rsidP="008A7CD9">
      <w:pPr>
        <w:pStyle w:val="LABBullets"/>
        <w:rPr>
          <w:color w:val="000000"/>
          <w:lang w:eastAsia="en-US"/>
        </w:rPr>
      </w:pPr>
      <w:r w:rsidRPr="00285E97">
        <w:rPr>
          <w:color w:val="000000"/>
          <w:lang w:eastAsia="en-US"/>
        </w:rPr>
        <w:t>Speaks and writes in a clear, articulate and impactful manner;</w:t>
      </w:r>
    </w:p>
    <w:p w14:paraId="60AE981C" w14:textId="77777777" w:rsidR="003D157B" w:rsidRPr="00285E97" w:rsidRDefault="003D157B" w:rsidP="008A7CD9">
      <w:pPr>
        <w:pStyle w:val="LABBullets"/>
        <w:rPr>
          <w:color w:val="000000"/>
          <w:lang w:eastAsia="en-US"/>
        </w:rPr>
      </w:pPr>
      <w:r w:rsidRPr="00285E97">
        <w:rPr>
          <w:color w:val="000000"/>
          <w:lang w:eastAsia="en-US"/>
        </w:rPr>
        <w:t>Actively listens, seeking to understand the perspective and position of others;</w:t>
      </w:r>
    </w:p>
    <w:p w14:paraId="250E492F" w14:textId="77777777" w:rsidR="003D157B" w:rsidRPr="00285E97" w:rsidRDefault="003D157B" w:rsidP="008A7CD9">
      <w:pPr>
        <w:pStyle w:val="LABBullets"/>
        <w:rPr>
          <w:color w:val="000000"/>
          <w:lang w:eastAsia="en-US"/>
        </w:rPr>
      </w:pPr>
      <w:r w:rsidRPr="00285E97">
        <w:rPr>
          <w:color w:val="000000"/>
          <w:lang w:eastAsia="en-US"/>
        </w:rPr>
        <w:t>Works effectively within the environment, recognising and managing the tensions arising from different stakeholders perspectives;</w:t>
      </w:r>
    </w:p>
    <w:p w14:paraId="301A4FD7" w14:textId="77777777" w:rsidR="003D157B" w:rsidRPr="00285E97" w:rsidRDefault="003D157B" w:rsidP="008A7CD9">
      <w:pPr>
        <w:pStyle w:val="LABBullets"/>
        <w:rPr>
          <w:color w:val="000000"/>
          <w:lang w:eastAsia="en-US"/>
        </w:rPr>
      </w:pPr>
      <w:r w:rsidRPr="00285E97">
        <w:rPr>
          <w:color w:val="000000"/>
          <w:lang w:eastAsia="en-US"/>
        </w:rPr>
        <w:t>Manages and resolves conflicts / disagreements in a positive and constructive manner;</w:t>
      </w:r>
    </w:p>
    <w:p w14:paraId="7C75B4AF" w14:textId="77777777" w:rsidR="003D157B" w:rsidRPr="00285E97" w:rsidRDefault="003D157B" w:rsidP="008A7CD9">
      <w:pPr>
        <w:pStyle w:val="LABBullets"/>
        <w:rPr>
          <w:color w:val="000000"/>
          <w:lang w:eastAsia="en-US"/>
        </w:rPr>
      </w:pPr>
      <w:r w:rsidRPr="00285E97">
        <w:rPr>
          <w:color w:val="000000"/>
          <w:lang w:eastAsia="en-US"/>
        </w:rPr>
        <w:t>Persuades others, builds consensus, gains co-operation from others to obtain information and accomplish goals;</w:t>
      </w:r>
    </w:p>
    <w:p w14:paraId="4AA185A6" w14:textId="77777777" w:rsidR="003D157B" w:rsidRPr="00285E97" w:rsidRDefault="003D157B" w:rsidP="008A7CD9">
      <w:pPr>
        <w:pStyle w:val="LABBullets"/>
        <w:rPr>
          <w:color w:val="000000"/>
          <w:lang w:eastAsia="en-US"/>
        </w:rPr>
      </w:pPr>
      <w:r w:rsidRPr="00285E97">
        <w:rPr>
          <w:color w:val="000000"/>
          <w:lang w:eastAsia="en-US"/>
        </w:rPr>
        <w:t>Proactively engages with colleagues at all levels of the organisation and external stakeholders building strong professional networks;</w:t>
      </w:r>
    </w:p>
    <w:p w14:paraId="319116AF" w14:textId="77777777" w:rsidR="003D157B" w:rsidRPr="00285E97" w:rsidRDefault="003D157B" w:rsidP="008A7CD9">
      <w:pPr>
        <w:pStyle w:val="LABBullets"/>
        <w:rPr>
          <w:color w:val="000000"/>
          <w:lang w:eastAsia="en-US"/>
        </w:rPr>
      </w:pPr>
      <w:r w:rsidRPr="00285E97">
        <w:rPr>
          <w:color w:val="000000"/>
          <w:lang w:eastAsia="en-US"/>
        </w:rPr>
        <w:t>Makes opinions known when s/he feels it is right to do so.</w:t>
      </w:r>
    </w:p>
    <w:p w14:paraId="38099DAD" w14:textId="05F77D61" w:rsidR="008A7CD9" w:rsidRPr="00D638DE" w:rsidRDefault="008A7CD9" w:rsidP="008A7CD9">
      <w:pPr>
        <w:pStyle w:val="Smallheadingorange"/>
      </w:pPr>
      <w:r w:rsidRPr="00D638DE">
        <w:t xml:space="preserve">Specialist Knowledge, Expertise </w:t>
      </w:r>
      <w:r w:rsidR="002572CB">
        <w:t xml:space="preserve">and </w:t>
      </w:r>
      <w:r w:rsidR="001F5F03">
        <w:t>S</w:t>
      </w:r>
      <w:r w:rsidR="002572CB">
        <w:t xml:space="preserve">elf </w:t>
      </w:r>
      <w:r w:rsidR="001F5F03">
        <w:t>D</w:t>
      </w:r>
      <w:r w:rsidR="002572CB">
        <w:t>evelopment</w:t>
      </w:r>
    </w:p>
    <w:p w14:paraId="63F2B768" w14:textId="77777777" w:rsidR="008A7CD9" w:rsidRPr="00D638DE" w:rsidRDefault="008A7CD9" w:rsidP="008A7CD9">
      <w:pPr>
        <w:pStyle w:val="LABBullets"/>
        <w:rPr>
          <w:lang w:eastAsia="en-US"/>
        </w:rPr>
      </w:pPr>
      <w:r w:rsidRPr="00D638DE">
        <w:rPr>
          <w:lang w:eastAsia="en-US"/>
        </w:rPr>
        <w:t>Develops and maintains skills and expertise across a number of areas that are relevant to his/her field and recognised by people internal and external to the organisation;</w:t>
      </w:r>
    </w:p>
    <w:p w14:paraId="71730E82" w14:textId="77777777" w:rsidR="008A7CD9" w:rsidRDefault="008A7CD9" w:rsidP="008A7CD9">
      <w:pPr>
        <w:pStyle w:val="LABBullets"/>
        <w:rPr>
          <w:lang w:eastAsia="en-US"/>
        </w:rPr>
      </w:pPr>
      <w:r w:rsidRPr="00D638DE">
        <w:rPr>
          <w:lang w:eastAsia="en-US"/>
        </w:rPr>
        <w:t>Keeps up to date with key organisational, sectoral, national and international policies and trends that affect the role;</w:t>
      </w:r>
    </w:p>
    <w:p w14:paraId="6600897C" w14:textId="77777777" w:rsidR="008A7CD9" w:rsidRPr="00D638DE" w:rsidRDefault="008A7CD9" w:rsidP="008A7CD9">
      <w:pPr>
        <w:pStyle w:val="LABBullets"/>
        <w:rPr>
          <w:lang w:eastAsia="en-US"/>
        </w:rPr>
      </w:pPr>
      <w:r w:rsidRPr="00D638DE">
        <w:rPr>
          <w:lang w:eastAsia="en-US"/>
        </w:rPr>
        <w:t>Is committed to continuous learning and new thinking.</w:t>
      </w:r>
    </w:p>
    <w:p w14:paraId="207433BD" w14:textId="77777777" w:rsidR="008A7CD9" w:rsidRPr="000532E7" w:rsidRDefault="008A7CD9" w:rsidP="008A7CD9">
      <w:pPr>
        <w:pStyle w:val="Smallheadingorange"/>
      </w:pPr>
      <w:r w:rsidRPr="000532E7">
        <w:t>Drive and Commitment to Public Service Values</w:t>
      </w:r>
    </w:p>
    <w:p w14:paraId="24F190F6" w14:textId="77777777" w:rsidR="008A7CD9" w:rsidRPr="000532E7" w:rsidRDefault="008A7CD9" w:rsidP="008A7CD9">
      <w:pPr>
        <w:pStyle w:val="LABBullets"/>
        <w:rPr>
          <w:lang w:eastAsia="en-US"/>
        </w:rPr>
      </w:pPr>
      <w:r w:rsidRPr="000532E7">
        <w:rPr>
          <w:lang w:eastAsia="en-US"/>
        </w:rPr>
        <w:t>Uses his / her initiative and proactively identifies and implements improvements in his / her own area of responsibility;</w:t>
      </w:r>
    </w:p>
    <w:p w14:paraId="6252E2CA" w14:textId="77777777" w:rsidR="008A7CD9" w:rsidRPr="000532E7" w:rsidRDefault="008A7CD9" w:rsidP="008A7CD9">
      <w:pPr>
        <w:pStyle w:val="LABBullets"/>
        <w:rPr>
          <w:lang w:eastAsia="en-US"/>
        </w:rPr>
      </w:pPr>
      <w:r w:rsidRPr="000532E7">
        <w:rPr>
          <w:lang w:eastAsia="en-US"/>
        </w:rPr>
        <w:t>Has a positive approach to change, taking a creative approach to dealing with problems and implementing solutions;</w:t>
      </w:r>
    </w:p>
    <w:p w14:paraId="20D34CC8" w14:textId="77777777" w:rsidR="008A7CD9" w:rsidRPr="000532E7" w:rsidRDefault="008A7CD9" w:rsidP="008A7CD9">
      <w:pPr>
        <w:pStyle w:val="LABBullets"/>
        <w:rPr>
          <w:lang w:eastAsia="en-US"/>
        </w:rPr>
      </w:pPr>
      <w:r w:rsidRPr="000532E7">
        <w:rPr>
          <w:lang w:eastAsia="en-US"/>
        </w:rPr>
        <w:t>Ensures the citizen is at the heart of his / her work.</w:t>
      </w:r>
    </w:p>
    <w:p w14:paraId="4273FC98" w14:textId="3FEDCE0C" w:rsidR="00815213" w:rsidRDefault="00815213">
      <w:pPr>
        <w:spacing w:after="200" w:line="276" w:lineRule="auto"/>
        <w:rPr>
          <w:rFonts w:cs="Arial"/>
          <w:b/>
          <w:color w:val="000000"/>
          <w:highlight w:val="yellow"/>
        </w:rPr>
      </w:pPr>
    </w:p>
    <w:p w14:paraId="2ECE6AAC" w14:textId="5B567D34" w:rsidR="002363EE" w:rsidRPr="00395D94" w:rsidRDefault="00B175BA" w:rsidP="00395D94">
      <w:pPr>
        <w:pStyle w:val="LABSection"/>
      </w:pPr>
      <w:r>
        <w:t>General Matters</w:t>
      </w:r>
    </w:p>
    <w:p w14:paraId="3FDF185C" w14:textId="43C735A1"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3088609A" w14:textId="77777777" w:rsidR="002F6820" w:rsidRDefault="00962AA3" w:rsidP="00357DFF">
      <w:pPr>
        <w:pStyle w:val="LABBullets"/>
        <w:numPr>
          <w:ilvl w:val="0"/>
          <w:numId w:val="0"/>
        </w:numPr>
        <w:ind w:left="284" w:hanging="284"/>
        <w:rPr>
          <w:rFonts w:eastAsia="Calibri"/>
        </w:rPr>
      </w:pPr>
      <w:r w:rsidRPr="00962AA3">
        <w:rPr>
          <w:rFonts w:eastAsia="Calibri"/>
        </w:rPr>
        <w:t>Candidates must, by the date of any job offer, be:</w:t>
      </w:r>
    </w:p>
    <w:p w14:paraId="56CE3362" w14:textId="3605CB36" w:rsidR="002F6820" w:rsidRPr="00357DFF" w:rsidRDefault="00962AA3" w:rsidP="00357DFF">
      <w:pPr>
        <w:pStyle w:val="LABBullets"/>
      </w:pPr>
      <w:r w:rsidRPr="00D81F31">
        <w:rPr>
          <w:rFonts w:eastAsia="Calibri"/>
        </w:rPr>
        <w:t>A citizen of the European Economic Area. The EEA consists of the Member States of the</w:t>
      </w:r>
      <w:r w:rsidRPr="00D81F31">
        <w:rPr>
          <w:rFonts w:eastAsia="Calibri"/>
        </w:rPr>
        <w:br/>
        <w:t>European Union, Iceland, Liechtenstein and Norway; or</w:t>
      </w:r>
    </w:p>
    <w:p w14:paraId="7ADC3267" w14:textId="1751AB97" w:rsidR="002F6820" w:rsidRPr="00357DFF" w:rsidRDefault="00962AA3" w:rsidP="00357DFF">
      <w:pPr>
        <w:pStyle w:val="LABBullets"/>
      </w:pPr>
      <w:r w:rsidRPr="002F6820">
        <w:rPr>
          <w:rFonts w:eastAsia="Calibri"/>
        </w:rPr>
        <w:t>A citizen of Switzerland pursuant to the agreement between the EU and Switzerland on the</w:t>
      </w:r>
      <w:r w:rsidR="00D81F31" w:rsidRPr="002F6820">
        <w:rPr>
          <w:rFonts w:eastAsia="Calibri"/>
        </w:rPr>
        <w:t xml:space="preserve"> </w:t>
      </w:r>
      <w:r w:rsidRPr="002F6820">
        <w:rPr>
          <w:rFonts w:eastAsia="Calibri"/>
        </w:rPr>
        <w:t xml:space="preserve">free movement of persons; </w:t>
      </w:r>
      <w:r w:rsidRPr="002F6820">
        <w:rPr>
          <w:rFonts w:eastAsia="Calibri"/>
          <w:bCs/>
        </w:rPr>
        <w:t>or</w:t>
      </w:r>
    </w:p>
    <w:p w14:paraId="21611180" w14:textId="33307295" w:rsidR="002F6820" w:rsidRPr="00357DFF" w:rsidRDefault="00962AA3" w:rsidP="00357DFF">
      <w:pPr>
        <w:pStyle w:val="LABBullets"/>
      </w:pPr>
      <w:r w:rsidRPr="00D81F31">
        <w:rPr>
          <w:rFonts w:eastAsia="Calibri"/>
        </w:rPr>
        <w:t>A non-EEA citizen who is a spouse or child of an EEA or Swiss citizen and has a stamp 4 visa;</w:t>
      </w:r>
      <w:r w:rsidR="00D81F31" w:rsidRPr="00D81F31">
        <w:rPr>
          <w:rFonts w:eastAsia="Calibri"/>
        </w:rPr>
        <w:t xml:space="preserve"> </w:t>
      </w:r>
      <w:r w:rsidRPr="00D81F31">
        <w:rPr>
          <w:rFonts w:eastAsia="Calibri"/>
          <w:bCs/>
        </w:rPr>
        <w:t>or</w:t>
      </w:r>
    </w:p>
    <w:p w14:paraId="412F44A1" w14:textId="41E9A34C" w:rsidR="002F6820" w:rsidRPr="00056FBF" w:rsidRDefault="00962AA3" w:rsidP="00357DFF">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4 visa</w:t>
      </w:r>
      <w:r w:rsidR="00B10BD7">
        <w:rPr>
          <w:rFonts w:eastAsia="Calibri"/>
        </w:rPr>
        <w:t>;</w:t>
      </w:r>
      <w:r w:rsidRPr="00D81F31">
        <w:rPr>
          <w:rFonts w:eastAsia="Calibri"/>
        </w:rPr>
        <w:t xml:space="preserve"> </w:t>
      </w:r>
      <w:r w:rsidRPr="00D81F31">
        <w:rPr>
          <w:rFonts w:eastAsia="Calibri"/>
          <w:bCs/>
        </w:rPr>
        <w:t>or</w:t>
      </w:r>
    </w:p>
    <w:p w14:paraId="0E4B96CF" w14:textId="19BF2807" w:rsidR="002F6820" w:rsidRDefault="00962AA3" w:rsidP="00056FBF">
      <w:pPr>
        <w:pStyle w:val="LABBullets"/>
      </w:pPr>
      <w:r w:rsidRPr="00056FBF">
        <w:rPr>
          <w:rFonts w:eastAsia="Calibri"/>
        </w:rPr>
        <w:t>A non-EEA citizen who is a parent of a dependent child who is a citizen of, and resident in, an</w:t>
      </w:r>
      <w:r w:rsidR="00D81F31" w:rsidRPr="00056FBF">
        <w:rPr>
          <w:rFonts w:eastAsia="Calibri"/>
        </w:rPr>
        <w:t xml:space="preserve"> </w:t>
      </w:r>
      <w:r w:rsidRPr="00056FBF">
        <w:rPr>
          <w:rFonts w:eastAsia="Calibri"/>
        </w:rPr>
        <w:t>EEA member state or Switzerland and has a stamp 4 visa</w:t>
      </w:r>
      <w:r w:rsidR="00D81F31" w:rsidRPr="00056FBF">
        <w:rPr>
          <w:rFonts w:eastAsia="Calibri"/>
        </w:rPr>
        <w:t>.</w:t>
      </w:r>
    </w:p>
    <w:p w14:paraId="601D1440" w14:textId="671FA343" w:rsidR="002363EE" w:rsidRPr="000532E7" w:rsidRDefault="002363EE" w:rsidP="00B175BA">
      <w:pPr>
        <w:pStyle w:val="Smallheadingorange"/>
      </w:pPr>
      <w:r w:rsidRPr="000532E7">
        <w:t>Incentivised Scheme for Early Retirement (ISER</w:t>
      </w:r>
      <w:r w:rsidRPr="000532E7">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0779CFA5" w:rsidR="002363EE" w:rsidRPr="000532E7" w:rsidRDefault="002363EE" w:rsidP="00B175BA">
      <w:pPr>
        <w:pStyle w:val="Smallheadingorange"/>
        <w:rPr>
          <w:iCs/>
        </w:rPr>
      </w:pPr>
      <w:r w:rsidRPr="000532E7">
        <w:t>Department of Health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05BB8F6C" w:rsidR="002363EE" w:rsidRPr="000532E7" w:rsidRDefault="002363EE" w:rsidP="00B175BA">
      <w:pPr>
        <w:pStyle w:val="Smallheadingorange"/>
        <w:rPr>
          <w:lang w:val="en-GB"/>
        </w:rPr>
      </w:pPr>
      <w:r w:rsidRPr="00395D94">
        <w:t>Declaration</w:t>
      </w:r>
    </w:p>
    <w:p w14:paraId="3557EA10" w14:textId="77777777" w:rsidR="002363EE" w:rsidRDefault="002363EE" w:rsidP="002363EE">
      <w:pPr>
        <w:spacing w:line="276" w:lineRule="auto"/>
        <w:rPr>
          <w:rFonts w:cs="Arial"/>
          <w:lang w:val="en-GB" w:eastAsia="en-US"/>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FBE651B" w14:textId="77777777" w:rsidR="001F5F03" w:rsidRPr="000532E7" w:rsidRDefault="001F5F03" w:rsidP="002363EE">
      <w:pPr>
        <w:spacing w:line="276" w:lineRule="auto"/>
        <w:rPr>
          <w:rFonts w:cs="Arial"/>
        </w:rPr>
      </w:pPr>
    </w:p>
    <w:p w14:paraId="052616BA" w14:textId="1B675A15" w:rsidR="001F5F03" w:rsidRPr="00285E97" w:rsidRDefault="003B5DC9" w:rsidP="003B5DC9">
      <w:pPr>
        <w:pStyle w:val="LABSection"/>
      </w:pPr>
      <w:r>
        <w:t>Principal Conditions of Service</w:t>
      </w:r>
    </w:p>
    <w:p w14:paraId="4C6CA9CF" w14:textId="579EE4C7" w:rsidR="002363EE" w:rsidRPr="00D81F31" w:rsidRDefault="002363EE" w:rsidP="00B175BA">
      <w:pPr>
        <w:pStyle w:val="Smallheadingorange"/>
        <w:rPr>
          <w:sz w:val="20"/>
          <w:szCs w:val="20"/>
        </w:rPr>
      </w:pPr>
      <w:r w:rsidRPr="00285E97">
        <w:t>General</w:t>
      </w:r>
    </w:p>
    <w:p w14:paraId="6DB84B3B" w14:textId="59732B7A"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 xml:space="preserve">The appointment is </w:t>
      </w:r>
      <w:r w:rsidR="00FA02E7">
        <w:rPr>
          <w:rStyle w:val="fontstyle01"/>
          <w:rFonts w:eastAsia="Calibri"/>
          <w:sz w:val="20"/>
          <w:szCs w:val="20"/>
        </w:rPr>
        <w:t xml:space="preserve">to a position of Director of Internal Service Delivery (Civil) in the Legal Aid Board and is </w:t>
      </w:r>
      <w:r w:rsidRPr="00D81F31">
        <w:rPr>
          <w:rStyle w:val="fontstyle01"/>
          <w:rFonts w:eastAsia="Calibri"/>
          <w:sz w:val="20"/>
          <w:szCs w:val="20"/>
        </w:rPr>
        <w:t>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r w:rsidR="00FA02E7">
        <w:rPr>
          <w:rStyle w:val="fontstyle01"/>
          <w:rFonts w:eastAsia="Calibri"/>
          <w:sz w:val="20"/>
          <w:szCs w:val="20"/>
        </w:rPr>
        <w:t xml:space="preserve">  Employees of the Board are Civil Servants and are subject to all of the terms and conditions which apply to civil servants generally.   </w:t>
      </w:r>
    </w:p>
    <w:p w14:paraId="2673E904" w14:textId="6DFD90C0" w:rsid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to a permanent position in the Civil Service on a probationary contract</w:t>
      </w:r>
      <w:r w:rsidRPr="00D81F31">
        <w:rPr>
          <w:color w:val="000000"/>
        </w:rPr>
        <w:br/>
      </w:r>
      <w:r w:rsidRPr="00D81F31">
        <w:rPr>
          <w:rStyle w:val="fontstyle01"/>
          <w:rFonts w:eastAsia="Calibri"/>
          <w:sz w:val="20"/>
          <w:szCs w:val="20"/>
        </w:rPr>
        <w:t>for a period of one year from the date of appointment. Notwithstanding this paragraph and</w:t>
      </w:r>
      <w:r w:rsidRPr="00D81F31">
        <w:rPr>
          <w:color w:val="000000"/>
        </w:rPr>
        <w:br/>
      </w:r>
      <w:r w:rsidRPr="00D81F31">
        <w:rPr>
          <w:rStyle w:val="fontstyle01"/>
          <w:rFonts w:eastAsia="Calibri"/>
          <w:sz w:val="20"/>
          <w:szCs w:val="20"/>
        </w:rPr>
        <w:t>the paragraph immediately following below, this will not preclude an extension of the</w:t>
      </w:r>
      <w:r w:rsidRPr="00D81F31">
        <w:rPr>
          <w:color w:val="000000"/>
        </w:rPr>
        <w:br/>
      </w:r>
      <w:r w:rsidRPr="00D81F31">
        <w:rPr>
          <w:rStyle w:val="fontstyle01"/>
          <w:rFonts w:eastAsia="Calibri"/>
          <w:sz w:val="20"/>
          <w:szCs w:val="20"/>
        </w:rPr>
        <w:t>probationary period in appropriate circumstances. During the period of probation, the</w:t>
      </w:r>
      <w:r w:rsidRPr="00D81F31">
        <w:rPr>
          <w:color w:val="000000"/>
        </w:rPr>
        <w:br/>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04E54A4F" w14:textId="7AB089A1" w:rsidR="002F6820" w:rsidRDefault="00220812" w:rsidP="00357DFF">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6F4D930F" w14:textId="70C1EAC5" w:rsidR="002F6820" w:rsidRDefault="00220812" w:rsidP="00357DFF">
      <w:pPr>
        <w:pStyle w:val="LABBullets"/>
        <w:rPr>
          <w:rStyle w:val="fontstyle01"/>
          <w:rFonts w:eastAsia="Calibri"/>
          <w:sz w:val="20"/>
          <w:szCs w:val="20"/>
        </w:rPr>
      </w:pPr>
      <w:r w:rsidRPr="00D81F31">
        <w:rPr>
          <w:rStyle w:val="fontstyle01"/>
          <w:rFonts w:eastAsia="Calibri"/>
          <w:sz w:val="20"/>
          <w:szCs w:val="20"/>
        </w:rPr>
        <w:t>has been satisfactory in general conduct; and</w:t>
      </w:r>
    </w:p>
    <w:p w14:paraId="05A9EE3D" w14:textId="11BF1DEB" w:rsidR="00D81F31" w:rsidRDefault="00220812" w:rsidP="00357DFF">
      <w:pPr>
        <w:pStyle w:val="LABBullets"/>
        <w:rPr>
          <w:rStyle w:val="fontstyle01"/>
          <w:rFonts w:eastAsia="Calibri"/>
          <w:sz w:val="20"/>
          <w:szCs w:val="20"/>
        </w:rPr>
      </w:pPr>
      <w:r w:rsidRPr="00D81F31">
        <w:rPr>
          <w:rStyle w:val="fontstyle01"/>
          <w:rFonts w:eastAsia="Calibri"/>
          <w:sz w:val="20"/>
          <w:szCs w:val="20"/>
        </w:rPr>
        <w:t>is suitable from the point of view of health with particular regard to sick leave.</w:t>
      </w:r>
      <w:r w:rsidRPr="00D81F31">
        <w:br/>
      </w:r>
    </w:p>
    <w:p w14:paraId="75E63939" w14:textId="63253FFF" w:rsidR="00220812" w:rsidRPr="00D81F31" w:rsidRDefault="00220812" w:rsidP="00395D94">
      <w:pPr>
        <w:pStyle w:val="LABBody10pt"/>
      </w:pPr>
      <w:r w:rsidRPr="00D81F31">
        <w:rPr>
          <w:rStyle w:val="fontstyle01"/>
          <w:rFonts w:eastAsia="Calibri"/>
          <w:sz w:val="20"/>
          <w:szCs w:val="20"/>
        </w:rPr>
        <w:t>Prior to completion of probation a decision will be made as to whether or not the appointee</w:t>
      </w:r>
      <w:r w:rsidRPr="00D81F31">
        <w:rPr>
          <w:color w:val="000000"/>
        </w:rPr>
        <w:br/>
      </w:r>
      <w:r w:rsidRPr="00D81F31">
        <w:rPr>
          <w:rStyle w:val="fontstyle01"/>
          <w:rFonts w:eastAsia="Calibri"/>
          <w:sz w:val="20"/>
          <w:szCs w:val="20"/>
        </w:rPr>
        <w:t>will be retained pursuant to Section 5A(2) of the Civil Service Regulations Act 1956-2005.</w:t>
      </w:r>
      <w:r w:rsidRPr="00D81F31">
        <w:rPr>
          <w:color w:val="000000"/>
        </w:rPr>
        <w:br/>
      </w:r>
      <w:r w:rsidRPr="00D81F31">
        <w:rPr>
          <w:rStyle w:val="fontstyle01"/>
          <w:rFonts w:eastAsia="Calibri"/>
          <w:sz w:val="20"/>
          <w:szCs w:val="20"/>
        </w:rPr>
        <w:t>This decision will be based on the appointee’s performance being assessed against the</w:t>
      </w:r>
      <w:r w:rsidRPr="00D81F31">
        <w:rPr>
          <w:color w:val="000000"/>
        </w:rPr>
        <w:br/>
      </w:r>
      <w:r w:rsidRPr="00D81F31">
        <w:rPr>
          <w:rStyle w:val="fontstyle01"/>
          <w:rFonts w:eastAsia="Calibri"/>
          <w:sz w:val="20"/>
          <w:szCs w:val="20"/>
        </w:rPr>
        <w:t>criteria set out in (i) to (iii) above. The detail of the probationary process will be explained</w:t>
      </w:r>
      <w:r w:rsidRPr="00D81F31">
        <w:rPr>
          <w:color w:val="000000"/>
        </w:rPr>
        <w:br/>
      </w:r>
      <w:r w:rsidRPr="00D81F31">
        <w:rPr>
          <w:rStyle w:val="fontstyle01"/>
          <w:rFonts w:eastAsia="Calibri"/>
          <w:sz w:val="20"/>
          <w:szCs w:val="20"/>
        </w:rPr>
        <w:t>to the appointee and the appointee will be given a copy of the Department of Public</w:t>
      </w:r>
      <w:r w:rsidRPr="00D81F31">
        <w:rPr>
          <w:color w:val="000000"/>
        </w:rPr>
        <w:br/>
      </w:r>
      <w:r w:rsidRPr="00D81F31">
        <w:rPr>
          <w:rStyle w:val="fontstyle01"/>
          <w:rFonts w:eastAsia="Calibri"/>
          <w:sz w:val="20"/>
          <w:szCs w:val="20"/>
        </w:rPr>
        <w:t>Expenditure and Reform’s guidelines on probation</w:t>
      </w:r>
      <w:r w:rsidR="00D81F31">
        <w:rPr>
          <w:rStyle w:val="fontstyle01"/>
          <w:rFonts w:eastAsia="Calibri"/>
          <w:sz w:val="20"/>
          <w:szCs w:val="20"/>
        </w:rPr>
        <w:t>.</w:t>
      </w:r>
    </w:p>
    <w:p w14:paraId="77E42CE4" w14:textId="766D3BE0" w:rsidR="008A7CD9" w:rsidRPr="00565F47" w:rsidRDefault="008A7CD9" w:rsidP="008A7CD9">
      <w:pPr>
        <w:pStyle w:val="Smallheadingorange"/>
      </w:pPr>
      <w:r w:rsidRPr="00565F47">
        <w:t>Pay</w:t>
      </w:r>
    </w:p>
    <w:p w14:paraId="64455380" w14:textId="45C1DB3C" w:rsidR="008A7CD9" w:rsidRPr="00745421" w:rsidRDefault="008A7CD9" w:rsidP="008A7CD9">
      <w:pPr>
        <w:rPr>
          <w:rFonts w:cs="Arial"/>
        </w:rPr>
      </w:pPr>
      <w:r w:rsidRPr="00565F47">
        <w:rPr>
          <w:rFonts w:cs="Arial"/>
          <w:color w:val="000000"/>
          <w:lang w:val="en-GB"/>
        </w:rPr>
        <w:t>The salary for the position</w:t>
      </w:r>
      <w:r w:rsidR="002F6820">
        <w:rPr>
          <w:rFonts w:cs="Arial"/>
          <w:color w:val="000000"/>
          <w:lang w:val="en-GB"/>
        </w:rPr>
        <w:t xml:space="preserve">, </w:t>
      </w:r>
      <w:r w:rsidRPr="00565F47">
        <w:rPr>
          <w:rFonts w:cs="Arial"/>
          <w:color w:val="000000"/>
          <w:lang w:val="en-GB"/>
        </w:rPr>
        <w:t>which is the equivalent of the Principal Officer (Higher) Grade is as follows; from 1</w:t>
      </w:r>
      <w:r w:rsidRPr="00565F47">
        <w:rPr>
          <w:rFonts w:cs="Arial"/>
          <w:color w:val="000000"/>
          <w:vertAlign w:val="superscript"/>
          <w:lang w:val="en-GB"/>
        </w:rPr>
        <w:t>st</w:t>
      </w:r>
      <w:r w:rsidRPr="00565F47">
        <w:rPr>
          <w:rFonts w:cs="Arial"/>
          <w:color w:val="000000"/>
          <w:lang w:val="en-GB"/>
        </w:rPr>
        <w:t xml:space="preserve"> October 2020</w:t>
      </w:r>
      <w:r>
        <w:rPr>
          <w:rFonts w:cs="Arial"/>
          <w:color w:val="000000"/>
          <w:lang w:val="en-GB"/>
        </w:rPr>
        <w:t xml:space="preserve"> </w:t>
      </w:r>
      <w:r w:rsidRPr="00745421">
        <w:rPr>
          <w:rFonts w:cs="Arial"/>
        </w:rPr>
        <w:t>and is making a personal pension contribution.</w:t>
      </w:r>
    </w:p>
    <w:p w14:paraId="52A13495" w14:textId="77777777" w:rsidR="008A7CD9" w:rsidRDefault="008A7CD9" w:rsidP="008A7CD9">
      <w:pPr>
        <w:jc w:val="both"/>
        <w:rPr>
          <w:rFonts w:eastAsia="Times New Roman" w:cs="Arial"/>
          <w:lang w:eastAsia="en-US"/>
        </w:rPr>
      </w:pPr>
    </w:p>
    <w:tbl>
      <w:tblPr>
        <w:tblW w:w="0" w:type="auto"/>
        <w:tblCellMar>
          <w:left w:w="0" w:type="dxa"/>
          <w:right w:w="0" w:type="dxa"/>
        </w:tblCellMar>
        <w:tblLook w:val="04A0" w:firstRow="1" w:lastRow="0" w:firstColumn="1" w:lastColumn="0" w:noHBand="0" w:noVBand="1"/>
      </w:tblPr>
      <w:tblGrid>
        <w:gridCol w:w="8015"/>
      </w:tblGrid>
      <w:tr w:rsidR="008A7CD9" w:rsidRPr="00565F47" w14:paraId="569D5EC3" w14:textId="77777777" w:rsidTr="008A7CD9">
        <w:trPr>
          <w:trHeight w:val="709"/>
        </w:trPr>
        <w:tc>
          <w:tcPr>
            <w:tcW w:w="0" w:type="auto"/>
            <w:hideMark/>
          </w:tcPr>
          <w:tbl>
            <w:tblPr>
              <w:tblW w:w="0" w:type="auto"/>
              <w:tblCellMar>
                <w:left w:w="0" w:type="dxa"/>
                <w:right w:w="0" w:type="dxa"/>
              </w:tblCellMar>
              <w:tblLook w:val="04A0" w:firstRow="1" w:lastRow="0" w:firstColumn="1" w:lastColumn="0" w:noHBand="0" w:noVBand="1"/>
            </w:tblPr>
            <w:tblGrid>
              <w:gridCol w:w="1081"/>
              <w:gridCol w:w="1081"/>
              <w:gridCol w:w="1081"/>
              <w:gridCol w:w="1193"/>
              <w:gridCol w:w="1193"/>
              <w:gridCol w:w="1193"/>
              <w:gridCol w:w="1193"/>
            </w:tblGrid>
            <w:tr w:rsidR="008A7CD9" w:rsidRPr="00565F47" w14:paraId="34F35A5B" w14:textId="77777777" w:rsidTr="008A7CD9">
              <w:tc>
                <w:tcPr>
                  <w:tcW w:w="0" w:type="auto"/>
                  <w:tcBorders>
                    <w:top w:val="nil"/>
                    <w:left w:val="nil"/>
                    <w:bottom w:val="nil"/>
                    <w:right w:val="nil"/>
                  </w:tcBorders>
                  <w:shd w:val="clear" w:color="auto" w:fill="auto"/>
                  <w:tcMar>
                    <w:top w:w="40" w:type="dxa"/>
                    <w:left w:w="40" w:type="dxa"/>
                    <w:bottom w:w="40" w:type="dxa"/>
                    <w:right w:w="40" w:type="dxa"/>
                  </w:tcMar>
                  <w:hideMark/>
                </w:tcPr>
                <w:p w14:paraId="64688D5B"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€91,003.00</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1A03CC87"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€94,648.00</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1ECA232C"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€98,306.00</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4BB41771"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€101,949.00</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56F41654"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€105,062.00</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6D096AE8"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€108,343.00</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1D5730AF"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€111,619.00</w:t>
                  </w:r>
                </w:p>
              </w:tc>
            </w:tr>
            <w:tr w:rsidR="008A7CD9" w:rsidRPr="00565F47" w14:paraId="597633DC" w14:textId="77777777" w:rsidTr="008A7CD9">
              <w:trPr>
                <w:trHeight w:val="284"/>
              </w:trPr>
              <w:tc>
                <w:tcPr>
                  <w:tcW w:w="0" w:type="auto"/>
                  <w:shd w:val="clear" w:color="auto" w:fill="auto"/>
                  <w:hideMark/>
                </w:tcPr>
                <w:p w14:paraId="76DE120C" w14:textId="77777777" w:rsidR="008A7CD9" w:rsidRPr="00565F47" w:rsidRDefault="008A7CD9" w:rsidP="008A7CD9">
                  <w:pPr>
                    <w:rPr>
                      <w:rFonts w:eastAsia="Times New Roman" w:cs="Arial"/>
                      <w:lang w:eastAsia="en-IE"/>
                    </w:rPr>
                  </w:pPr>
                </w:p>
              </w:tc>
              <w:tc>
                <w:tcPr>
                  <w:tcW w:w="0" w:type="auto"/>
                  <w:tcBorders>
                    <w:top w:val="nil"/>
                    <w:left w:val="nil"/>
                    <w:bottom w:val="nil"/>
                    <w:right w:val="nil"/>
                  </w:tcBorders>
                  <w:shd w:val="clear" w:color="auto" w:fill="auto"/>
                  <w:tcMar>
                    <w:top w:w="40" w:type="dxa"/>
                    <w:left w:w="40" w:type="dxa"/>
                    <w:bottom w:w="40" w:type="dxa"/>
                    <w:right w:w="40" w:type="dxa"/>
                  </w:tcMar>
                  <w:hideMark/>
                </w:tcPr>
                <w:p w14:paraId="40675104" w14:textId="77777777" w:rsidR="008A7CD9" w:rsidRPr="00565F47" w:rsidRDefault="008A7CD9" w:rsidP="008A7CD9">
                  <w:pPr>
                    <w:rPr>
                      <w:rFonts w:eastAsia="Times New Roman" w:cs="Arial"/>
                      <w:lang w:eastAsia="en-IE"/>
                    </w:rPr>
                  </w:pPr>
                  <w:r w:rsidRPr="00565F47">
                    <w:rPr>
                      <w:rFonts w:eastAsia="Times New Roman" w:cs="Arial"/>
                      <w:lang w:eastAsia="en-IE"/>
                    </w:rPr>
                    <w:t> </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569BEDA1" w14:textId="77777777" w:rsidR="008A7CD9" w:rsidRPr="00565F47" w:rsidRDefault="008A7CD9" w:rsidP="008A7CD9">
                  <w:pPr>
                    <w:jc w:val="right"/>
                    <w:rPr>
                      <w:rFonts w:eastAsia="Times New Roman" w:cs="Arial"/>
                      <w:lang w:eastAsia="en-IE"/>
                    </w:rPr>
                  </w:pPr>
                  <w:r w:rsidRPr="00565F47">
                    <w:rPr>
                      <w:rFonts w:eastAsia="Times New Roman" w:cs="Arial"/>
                      <w:lang w:eastAsia="en-IE"/>
                    </w:rPr>
                    <w:t> </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36F817E6" w14:textId="77777777" w:rsidR="008A7CD9" w:rsidRPr="00565F47" w:rsidRDefault="008A7CD9" w:rsidP="008A7CD9">
                  <w:pPr>
                    <w:jc w:val="right"/>
                    <w:rPr>
                      <w:rFonts w:eastAsia="Times New Roman" w:cs="Arial"/>
                      <w:lang w:eastAsia="en-IE"/>
                    </w:rPr>
                  </w:pPr>
                  <w:r w:rsidRPr="00565F47">
                    <w:rPr>
                      <w:rFonts w:eastAsia="Times New Roman" w:cs="Arial"/>
                      <w:lang w:eastAsia="en-IE"/>
                    </w:rPr>
                    <w:t> </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66B9A74C" w14:textId="77777777" w:rsidR="008A7CD9" w:rsidRPr="00565F47" w:rsidRDefault="008A7CD9" w:rsidP="008A7CD9">
                  <w:pPr>
                    <w:jc w:val="center"/>
                    <w:rPr>
                      <w:rFonts w:eastAsia="Times New Roman" w:cs="Arial"/>
                      <w:lang w:eastAsia="en-IE"/>
                    </w:rPr>
                  </w:pPr>
                  <w:r w:rsidRPr="00565F47">
                    <w:rPr>
                      <w:rFonts w:eastAsia="Times New Roman" w:cs="Arial"/>
                      <w:color w:val="000000"/>
                      <w:lang w:eastAsia="en-IE"/>
                    </w:rPr>
                    <w:t>NMAX</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7B53F927" w14:textId="77777777" w:rsidR="008A7CD9" w:rsidRPr="00565F47" w:rsidRDefault="008A7CD9" w:rsidP="008A7CD9">
                  <w:pPr>
                    <w:jc w:val="center"/>
                    <w:textAlignment w:val="top"/>
                    <w:rPr>
                      <w:rFonts w:eastAsia="Times New Roman" w:cs="Arial"/>
                      <w:color w:val="000000"/>
                      <w:lang w:eastAsia="en-IE"/>
                    </w:rPr>
                  </w:pPr>
                  <w:r w:rsidRPr="00565F47">
                    <w:rPr>
                      <w:rFonts w:eastAsia="Times New Roman" w:cs="Arial"/>
                      <w:color w:val="000000"/>
                      <w:lang w:eastAsia="en-IE"/>
                    </w:rPr>
                    <w:t>LSI1</w:t>
                  </w:r>
                </w:p>
              </w:tc>
              <w:tc>
                <w:tcPr>
                  <w:tcW w:w="0" w:type="auto"/>
                  <w:tcBorders>
                    <w:top w:val="nil"/>
                    <w:left w:val="nil"/>
                    <w:bottom w:val="nil"/>
                    <w:right w:val="nil"/>
                  </w:tcBorders>
                  <w:shd w:val="clear" w:color="auto" w:fill="auto"/>
                  <w:tcMar>
                    <w:top w:w="40" w:type="dxa"/>
                    <w:left w:w="40" w:type="dxa"/>
                    <w:bottom w:w="40" w:type="dxa"/>
                    <w:right w:w="40" w:type="dxa"/>
                  </w:tcMar>
                  <w:hideMark/>
                </w:tcPr>
                <w:p w14:paraId="5F8A589C" w14:textId="77777777" w:rsidR="008A7CD9" w:rsidRPr="00565F47" w:rsidRDefault="008A7CD9" w:rsidP="008A7CD9">
                  <w:pPr>
                    <w:jc w:val="center"/>
                    <w:textAlignment w:val="top"/>
                    <w:rPr>
                      <w:rFonts w:eastAsia="Times New Roman" w:cs="Arial"/>
                      <w:color w:val="000000"/>
                      <w:lang w:eastAsia="en-IE"/>
                    </w:rPr>
                  </w:pPr>
                  <w:r w:rsidRPr="00565F47">
                    <w:rPr>
                      <w:rFonts w:eastAsia="Times New Roman" w:cs="Arial"/>
                      <w:color w:val="000000"/>
                      <w:lang w:eastAsia="en-IE"/>
                    </w:rPr>
                    <w:t>LSI2</w:t>
                  </w:r>
                </w:p>
              </w:tc>
            </w:tr>
          </w:tbl>
          <w:p w14:paraId="26B05AF0" w14:textId="77777777" w:rsidR="008A7CD9" w:rsidRPr="00565F47" w:rsidRDefault="008A7CD9" w:rsidP="008A7CD9">
            <w:pPr>
              <w:rPr>
                <w:rFonts w:eastAsia="Times New Roman" w:cs="Arial"/>
                <w:lang w:val="en-US" w:eastAsia="en-IE"/>
              </w:rPr>
            </w:pPr>
          </w:p>
        </w:tc>
      </w:tr>
    </w:tbl>
    <w:p w14:paraId="6E4933CE" w14:textId="77777777" w:rsidR="008A7CD9" w:rsidRPr="00565F47" w:rsidRDefault="008A7CD9" w:rsidP="008A7CD9">
      <w:pPr>
        <w:tabs>
          <w:tab w:val="left" w:pos="0"/>
        </w:tabs>
        <w:spacing w:line="276" w:lineRule="auto"/>
        <w:ind w:firstLine="720"/>
        <w:rPr>
          <w:rFonts w:cs="Arial"/>
          <w:color w:val="000000"/>
          <w:u w:val="single"/>
        </w:rPr>
      </w:pPr>
    </w:p>
    <w:p w14:paraId="0955654B" w14:textId="77777777" w:rsidR="008A7CD9" w:rsidRPr="00565F47" w:rsidRDefault="008A7CD9" w:rsidP="008A7CD9">
      <w:pPr>
        <w:tabs>
          <w:tab w:val="left" w:pos="0"/>
        </w:tabs>
        <w:spacing w:line="276" w:lineRule="auto"/>
        <w:rPr>
          <w:rFonts w:cs="Arial"/>
          <w:color w:val="000000"/>
        </w:rPr>
      </w:pPr>
      <w:r w:rsidRPr="00565F47">
        <w:rPr>
          <w:rFonts w:cs="Arial"/>
          <w:color w:val="000000"/>
        </w:rPr>
        <w:t>This rate will apply where the appointee is a civil or public servant recruited before 6</w:t>
      </w:r>
      <w:r w:rsidRPr="00565F47">
        <w:rPr>
          <w:rFonts w:cs="Arial"/>
          <w:color w:val="000000"/>
          <w:vertAlign w:val="superscript"/>
        </w:rPr>
        <w:t>th</w:t>
      </w:r>
      <w:r w:rsidRPr="00565F47">
        <w:rPr>
          <w:rFonts w:cs="Arial"/>
          <w:color w:val="000000"/>
        </w:rPr>
        <w:t xml:space="preserve"> April 1995 and who is not required to make a personal pension contribution.</w:t>
      </w:r>
    </w:p>
    <w:p w14:paraId="2C1BA0AD" w14:textId="77777777" w:rsidR="008A7CD9" w:rsidRPr="00565F47" w:rsidRDefault="008A7CD9" w:rsidP="008A7CD9">
      <w:pPr>
        <w:tabs>
          <w:tab w:val="left" w:pos="0"/>
        </w:tabs>
        <w:spacing w:line="276" w:lineRule="auto"/>
        <w:ind w:firstLine="720"/>
        <w:rPr>
          <w:rFonts w:cs="Arial"/>
          <w:color w:val="000000"/>
          <w:u w:val="single"/>
        </w:rPr>
      </w:pPr>
    </w:p>
    <w:p w14:paraId="3AEFC9B1" w14:textId="77777777" w:rsidR="008A7CD9" w:rsidRPr="00565F47" w:rsidRDefault="008A7CD9" w:rsidP="008A7CD9">
      <w:pPr>
        <w:spacing w:line="276" w:lineRule="auto"/>
        <w:rPr>
          <w:rFonts w:eastAsia="Times New Roman" w:cs="Arial"/>
          <w:lang w:eastAsia="en-US"/>
        </w:rPr>
      </w:pPr>
      <w:r w:rsidRPr="00565F47">
        <w:rPr>
          <w:rFonts w:eastAsia="Times New Roman" w:cs="Arial"/>
          <w:lang w:eastAsia="en-US"/>
        </w:rPr>
        <w:t>Personal Pension Contribution (PPC) Salary Scale – from 1</w:t>
      </w:r>
      <w:r w:rsidRPr="00565F47">
        <w:rPr>
          <w:rFonts w:eastAsia="Times New Roman" w:cs="Arial"/>
          <w:vertAlign w:val="superscript"/>
          <w:lang w:eastAsia="en-US"/>
        </w:rPr>
        <w:t>st</w:t>
      </w:r>
      <w:r w:rsidRPr="00565F47">
        <w:rPr>
          <w:rFonts w:eastAsia="Times New Roman" w:cs="Arial"/>
          <w:lang w:eastAsia="en-US"/>
        </w:rPr>
        <w:t xml:space="preserve"> October 2020</w:t>
      </w:r>
    </w:p>
    <w:p w14:paraId="1C1951A9" w14:textId="77777777" w:rsidR="008A7CD9" w:rsidRPr="00565F47" w:rsidRDefault="008A7CD9" w:rsidP="008A7CD9">
      <w:pPr>
        <w:spacing w:line="276" w:lineRule="auto"/>
        <w:rPr>
          <w:rFonts w:eastAsia="Times New Roman" w:cs="Arial"/>
          <w:lang w:eastAsia="en-US"/>
        </w:rPr>
      </w:pPr>
    </w:p>
    <w:tbl>
      <w:tblPr>
        <w:tblW w:w="8281" w:type="dxa"/>
        <w:tblInd w:w="-102" w:type="dxa"/>
        <w:tblCellMar>
          <w:left w:w="0" w:type="dxa"/>
          <w:right w:w="0" w:type="dxa"/>
        </w:tblCellMar>
        <w:tblLook w:val="04A0" w:firstRow="1" w:lastRow="0" w:firstColumn="1" w:lastColumn="0" w:noHBand="0" w:noVBand="1"/>
      </w:tblPr>
      <w:tblGrid>
        <w:gridCol w:w="1135"/>
        <w:gridCol w:w="1134"/>
        <w:gridCol w:w="1193"/>
        <w:gridCol w:w="1216"/>
        <w:gridCol w:w="1193"/>
        <w:gridCol w:w="1217"/>
        <w:gridCol w:w="1193"/>
      </w:tblGrid>
      <w:tr w:rsidR="008A7CD9" w:rsidRPr="00D85C0F" w14:paraId="51D0ACD5" w14:textId="77777777" w:rsidTr="00056FBF">
        <w:trPr>
          <w:trHeight w:val="216"/>
        </w:trPr>
        <w:tc>
          <w:tcPr>
            <w:tcW w:w="1135" w:type="dxa"/>
            <w:tcBorders>
              <w:top w:val="nil"/>
              <w:left w:val="nil"/>
              <w:bottom w:val="nil"/>
              <w:right w:val="nil"/>
            </w:tcBorders>
            <w:shd w:val="clear" w:color="auto" w:fill="auto"/>
            <w:tcMar>
              <w:top w:w="40" w:type="dxa"/>
              <w:left w:w="40" w:type="dxa"/>
              <w:bottom w:w="40" w:type="dxa"/>
              <w:right w:w="40" w:type="dxa"/>
            </w:tcMar>
            <w:hideMark/>
          </w:tcPr>
          <w:p w14:paraId="125E8961"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€95,661.00</w:t>
            </w:r>
          </w:p>
        </w:tc>
        <w:tc>
          <w:tcPr>
            <w:tcW w:w="1134" w:type="dxa"/>
            <w:tcBorders>
              <w:top w:val="nil"/>
              <w:left w:val="nil"/>
              <w:bottom w:val="nil"/>
              <w:right w:val="nil"/>
            </w:tcBorders>
            <w:shd w:val="clear" w:color="auto" w:fill="auto"/>
            <w:tcMar>
              <w:top w:w="40" w:type="dxa"/>
              <w:left w:w="40" w:type="dxa"/>
              <w:bottom w:w="40" w:type="dxa"/>
              <w:right w:w="40" w:type="dxa"/>
            </w:tcMar>
            <w:hideMark/>
          </w:tcPr>
          <w:p w14:paraId="4FC8FE91"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€99,490.00</w:t>
            </w:r>
          </w:p>
        </w:tc>
        <w:tc>
          <w:tcPr>
            <w:tcW w:w="1193" w:type="dxa"/>
            <w:tcBorders>
              <w:top w:val="nil"/>
              <w:left w:val="nil"/>
              <w:bottom w:val="nil"/>
              <w:right w:val="nil"/>
            </w:tcBorders>
            <w:shd w:val="clear" w:color="auto" w:fill="auto"/>
            <w:tcMar>
              <w:top w:w="40" w:type="dxa"/>
              <w:left w:w="40" w:type="dxa"/>
              <w:bottom w:w="40" w:type="dxa"/>
              <w:right w:w="40" w:type="dxa"/>
            </w:tcMar>
            <w:hideMark/>
          </w:tcPr>
          <w:p w14:paraId="6CDAE095"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€103,337.00</w:t>
            </w:r>
          </w:p>
        </w:tc>
        <w:tc>
          <w:tcPr>
            <w:tcW w:w="1216" w:type="dxa"/>
            <w:tcBorders>
              <w:top w:val="nil"/>
              <w:left w:val="nil"/>
              <w:bottom w:val="nil"/>
              <w:right w:val="nil"/>
            </w:tcBorders>
            <w:shd w:val="clear" w:color="auto" w:fill="auto"/>
            <w:tcMar>
              <w:top w:w="40" w:type="dxa"/>
              <w:left w:w="40" w:type="dxa"/>
              <w:bottom w:w="40" w:type="dxa"/>
              <w:right w:w="40" w:type="dxa"/>
            </w:tcMar>
            <w:hideMark/>
          </w:tcPr>
          <w:p w14:paraId="23E6A127"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€107,177.00</w:t>
            </w:r>
          </w:p>
        </w:tc>
        <w:tc>
          <w:tcPr>
            <w:tcW w:w="1193" w:type="dxa"/>
            <w:tcBorders>
              <w:top w:val="nil"/>
              <w:left w:val="nil"/>
              <w:bottom w:val="nil"/>
              <w:right w:val="nil"/>
            </w:tcBorders>
            <w:shd w:val="clear" w:color="auto" w:fill="auto"/>
            <w:tcMar>
              <w:top w:w="40" w:type="dxa"/>
              <w:left w:w="40" w:type="dxa"/>
              <w:bottom w:w="40" w:type="dxa"/>
              <w:right w:w="40" w:type="dxa"/>
            </w:tcMar>
            <w:hideMark/>
          </w:tcPr>
          <w:p w14:paraId="61C113BB"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€110,452.00</w:t>
            </w:r>
          </w:p>
        </w:tc>
        <w:tc>
          <w:tcPr>
            <w:tcW w:w="1217" w:type="dxa"/>
            <w:tcBorders>
              <w:top w:val="nil"/>
              <w:left w:val="nil"/>
              <w:bottom w:val="nil"/>
              <w:right w:val="nil"/>
            </w:tcBorders>
            <w:shd w:val="clear" w:color="auto" w:fill="auto"/>
            <w:tcMar>
              <w:top w:w="40" w:type="dxa"/>
              <w:left w:w="40" w:type="dxa"/>
              <w:bottom w:w="40" w:type="dxa"/>
              <w:right w:w="40" w:type="dxa"/>
            </w:tcMar>
            <w:hideMark/>
          </w:tcPr>
          <w:p w14:paraId="471EE079"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€113,901.00</w:t>
            </w:r>
          </w:p>
        </w:tc>
        <w:tc>
          <w:tcPr>
            <w:tcW w:w="1193" w:type="dxa"/>
            <w:tcBorders>
              <w:top w:val="nil"/>
              <w:left w:val="nil"/>
              <w:bottom w:val="nil"/>
              <w:right w:val="nil"/>
            </w:tcBorders>
            <w:shd w:val="clear" w:color="auto" w:fill="auto"/>
            <w:tcMar>
              <w:top w:w="40" w:type="dxa"/>
              <w:left w:w="40" w:type="dxa"/>
              <w:bottom w:w="40" w:type="dxa"/>
              <w:right w:w="40" w:type="dxa"/>
            </w:tcMar>
            <w:hideMark/>
          </w:tcPr>
          <w:p w14:paraId="06965F3F" w14:textId="77777777" w:rsidR="008A7CD9" w:rsidRPr="00565F47" w:rsidRDefault="008A7CD9" w:rsidP="008A7CD9">
            <w:pPr>
              <w:jc w:val="right"/>
              <w:textAlignment w:val="top"/>
              <w:rPr>
                <w:rFonts w:eastAsia="Times New Roman" w:cs="Arial"/>
                <w:color w:val="000000"/>
                <w:lang w:eastAsia="en-IE"/>
              </w:rPr>
            </w:pPr>
            <w:r w:rsidRPr="00565F47">
              <w:rPr>
                <w:rFonts w:eastAsia="Times New Roman" w:cs="Arial"/>
                <w:color w:val="000000"/>
                <w:lang w:eastAsia="en-IE"/>
              </w:rPr>
              <w:t>€117,352.00</w:t>
            </w:r>
          </w:p>
        </w:tc>
      </w:tr>
      <w:tr w:rsidR="008A7CD9" w:rsidRPr="00565F47" w14:paraId="544D0527" w14:textId="77777777" w:rsidTr="00056FBF">
        <w:trPr>
          <w:trHeight w:val="320"/>
        </w:trPr>
        <w:tc>
          <w:tcPr>
            <w:tcW w:w="1135" w:type="dxa"/>
            <w:shd w:val="clear" w:color="auto" w:fill="auto"/>
            <w:hideMark/>
          </w:tcPr>
          <w:p w14:paraId="4D834304" w14:textId="77777777" w:rsidR="008A7CD9" w:rsidRPr="00565F47" w:rsidRDefault="008A7CD9" w:rsidP="008A7CD9">
            <w:pPr>
              <w:rPr>
                <w:rFonts w:eastAsia="Times New Roman" w:cs="Arial"/>
                <w:lang w:eastAsia="en-IE"/>
              </w:rPr>
            </w:pPr>
          </w:p>
        </w:tc>
        <w:tc>
          <w:tcPr>
            <w:tcW w:w="1134" w:type="dxa"/>
            <w:tcBorders>
              <w:top w:val="nil"/>
              <w:left w:val="nil"/>
              <w:bottom w:val="nil"/>
              <w:right w:val="nil"/>
            </w:tcBorders>
            <w:shd w:val="clear" w:color="auto" w:fill="auto"/>
            <w:tcMar>
              <w:top w:w="40" w:type="dxa"/>
              <w:left w:w="40" w:type="dxa"/>
              <w:bottom w:w="40" w:type="dxa"/>
              <w:right w:w="40" w:type="dxa"/>
            </w:tcMar>
            <w:hideMark/>
          </w:tcPr>
          <w:p w14:paraId="3FAECFEA" w14:textId="77777777" w:rsidR="008A7CD9" w:rsidRPr="00565F47" w:rsidRDefault="008A7CD9" w:rsidP="008A7CD9">
            <w:pPr>
              <w:rPr>
                <w:rFonts w:eastAsia="Times New Roman" w:cs="Arial"/>
                <w:lang w:eastAsia="en-IE"/>
              </w:rPr>
            </w:pPr>
            <w:r w:rsidRPr="00565F47">
              <w:rPr>
                <w:rFonts w:eastAsia="Times New Roman" w:cs="Arial"/>
                <w:lang w:eastAsia="en-IE"/>
              </w:rPr>
              <w:t> </w:t>
            </w:r>
          </w:p>
        </w:tc>
        <w:tc>
          <w:tcPr>
            <w:tcW w:w="1193" w:type="dxa"/>
            <w:tcBorders>
              <w:top w:val="nil"/>
              <w:left w:val="nil"/>
              <w:bottom w:val="nil"/>
              <w:right w:val="nil"/>
            </w:tcBorders>
            <w:shd w:val="clear" w:color="auto" w:fill="auto"/>
            <w:tcMar>
              <w:top w:w="40" w:type="dxa"/>
              <w:left w:w="40" w:type="dxa"/>
              <w:bottom w:w="40" w:type="dxa"/>
              <w:right w:w="40" w:type="dxa"/>
            </w:tcMar>
            <w:hideMark/>
          </w:tcPr>
          <w:p w14:paraId="306B0738" w14:textId="77777777" w:rsidR="008A7CD9" w:rsidRPr="00565F47" w:rsidRDefault="008A7CD9" w:rsidP="008A7CD9">
            <w:pPr>
              <w:jc w:val="right"/>
              <w:rPr>
                <w:rFonts w:eastAsia="Times New Roman" w:cs="Arial"/>
                <w:lang w:eastAsia="en-IE"/>
              </w:rPr>
            </w:pPr>
            <w:r w:rsidRPr="00565F47">
              <w:rPr>
                <w:rFonts w:eastAsia="Times New Roman" w:cs="Arial"/>
                <w:lang w:eastAsia="en-IE"/>
              </w:rPr>
              <w:t> </w:t>
            </w:r>
          </w:p>
        </w:tc>
        <w:tc>
          <w:tcPr>
            <w:tcW w:w="1216" w:type="dxa"/>
            <w:tcBorders>
              <w:top w:val="nil"/>
              <w:left w:val="nil"/>
              <w:bottom w:val="nil"/>
              <w:right w:val="nil"/>
            </w:tcBorders>
            <w:shd w:val="clear" w:color="auto" w:fill="auto"/>
            <w:tcMar>
              <w:top w:w="40" w:type="dxa"/>
              <w:left w:w="40" w:type="dxa"/>
              <w:bottom w:w="40" w:type="dxa"/>
              <w:right w:w="40" w:type="dxa"/>
            </w:tcMar>
            <w:hideMark/>
          </w:tcPr>
          <w:p w14:paraId="1500C690" w14:textId="77777777" w:rsidR="008A7CD9" w:rsidRPr="00565F47" w:rsidRDefault="008A7CD9" w:rsidP="008A7CD9">
            <w:pPr>
              <w:jc w:val="right"/>
              <w:rPr>
                <w:rFonts w:eastAsia="Times New Roman" w:cs="Arial"/>
                <w:lang w:eastAsia="en-IE"/>
              </w:rPr>
            </w:pPr>
            <w:r w:rsidRPr="00565F47">
              <w:rPr>
                <w:rFonts w:eastAsia="Times New Roman" w:cs="Arial"/>
                <w:lang w:eastAsia="en-IE"/>
              </w:rPr>
              <w:t> </w:t>
            </w:r>
          </w:p>
        </w:tc>
        <w:tc>
          <w:tcPr>
            <w:tcW w:w="1193" w:type="dxa"/>
            <w:tcBorders>
              <w:top w:val="nil"/>
              <w:left w:val="nil"/>
              <w:bottom w:val="nil"/>
              <w:right w:val="nil"/>
            </w:tcBorders>
            <w:shd w:val="clear" w:color="auto" w:fill="auto"/>
            <w:tcMar>
              <w:top w:w="40" w:type="dxa"/>
              <w:left w:w="40" w:type="dxa"/>
              <w:bottom w:w="40" w:type="dxa"/>
              <w:right w:w="40" w:type="dxa"/>
            </w:tcMar>
            <w:hideMark/>
          </w:tcPr>
          <w:p w14:paraId="59CE4645" w14:textId="77777777" w:rsidR="008A7CD9" w:rsidRPr="00565F47" w:rsidRDefault="008A7CD9" w:rsidP="008A7CD9">
            <w:pPr>
              <w:jc w:val="center"/>
              <w:rPr>
                <w:rFonts w:eastAsia="Times New Roman" w:cs="Arial"/>
                <w:lang w:eastAsia="en-IE"/>
              </w:rPr>
            </w:pPr>
            <w:r w:rsidRPr="00565F47">
              <w:rPr>
                <w:rFonts w:eastAsia="Times New Roman" w:cs="Arial"/>
                <w:color w:val="000000"/>
                <w:lang w:eastAsia="en-IE"/>
              </w:rPr>
              <w:t>NMAX</w:t>
            </w:r>
          </w:p>
        </w:tc>
        <w:tc>
          <w:tcPr>
            <w:tcW w:w="1217" w:type="dxa"/>
            <w:tcBorders>
              <w:top w:val="nil"/>
              <w:left w:val="nil"/>
              <w:bottom w:val="nil"/>
              <w:right w:val="nil"/>
            </w:tcBorders>
            <w:shd w:val="clear" w:color="auto" w:fill="auto"/>
            <w:tcMar>
              <w:top w:w="40" w:type="dxa"/>
              <w:left w:w="40" w:type="dxa"/>
              <w:bottom w:w="40" w:type="dxa"/>
              <w:right w:w="40" w:type="dxa"/>
            </w:tcMar>
            <w:hideMark/>
          </w:tcPr>
          <w:p w14:paraId="596ABB9A" w14:textId="77777777" w:rsidR="008A7CD9" w:rsidRPr="00565F47" w:rsidRDefault="008A7CD9" w:rsidP="008A7CD9">
            <w:pPr>
              <w:jc w:val="center"/>
              <w:textAlignment w:val="top"/>
              <w:rPr>
                <w:rFonts w:eastAsia="Times New Roman" w:cs="Arial"/>
                <w:color w:val="000000"/>
                <w:lang w:eastAsia="en-IE"/>
              </w:rPr>
            </w:pPr>
            <w:r w:rsidRPr="00565F47">
              <w:rPr>
                <w:rFonts w:eastAsia="Times New Roman" w:cs="Arial"/>
                <w:color w:val="000000"/>
                <w:lang w:eastAsia="en-IE"/>
              </w:rPr>
              <w:t>LSI1</w:t>
            </w:r>
          </w:p>
        </w:tc>
        <w:tc>
          <w:tcPr>
            <w:tcW w:w="1193" w:type="dxa"/>
            <w:tcBorders>
              <w:top w:val="nil"/>
              <w:left w:val="nil"/>
              <w:bottom w:val="nil"/>
              <w:right w:val="nil"/>
            </w:tcBorders>
            <w:shd w:val="clear" w:color="auto" w:fill="auto"/>
            <w:tcMar>
              <w:top w:w="40" w:type="dxa"/>
              <w:left w:w="40" w:type="dxa"/>
              <w:bottom w:w="40" w:type="dxa"/>
              <w:right w:w="40" w:type="dxa"/>
            </w:tcMar>
            <w:hideMark/>
          </w:tcPr>
          <w:p w14:paraId="6EABEA6B" w14:textId="77777777" w:rsidR="008A7CD9" w:rsidRPr="00565F47" w:rsidRDefault="008A7CD9" w:rsidP="008A7CD9">
            <w:pPr>
              <w:jc w:val="center"/>
              <w:textAlignment w:val="top"/>
              <w:rPr>
                <w:rFonts w:eastAsia="Times New Roman" w:cs="Arial"/>
                <w:color w:val="000000"/>
                <w:lang w:eastAsia="en-IE"/>
              </w:rPr>
            </w:pPr>
            <w:r w:rsidRPr="00565F47">
              <w:rPr>
                <w:rFonts w:eastAsia="Times New Roman" w:cs="Arial"/>
                <w:color w:val="000000"/>
                <w:lang w:eastAsia="en-IE"/>
              </w:rPr>
              <w:t>LSI2</w:t>
            </w:r>
            <w:bookmarkStart w:id="0" w:name="_GoBack"/>
            <w:bookmarkEnd w:id="0"/>
          </w:p>
        </w:tc>
      </w:tr>
    </w:tbl>
    <w:p w14:paraId="78AAB16E" w14:textId="77777777" w:rsidR="00B718A0" w:rsidRDefault="00B718A0" w:rsidP="008A7CD9">
      <w:pPr>
        <w:tabs>
          <w:tab w:val="left" w:pos="8640"/>
        </w:tabs>
        <w:spacing w:line="276" w:lineRule="auto"/>
        <w:jc w:val="both"/>
        <w:rPr>
          <w:rFonts w:cs="Arial"/>
          <w:iCs/>
        </w:rPr>
      </w:pPr>
    </w:p>
    <w:p w14:paraId="33C7928D" w14:textId="13BDE0FE" w:rsidR="008A7CD9" w:rsidRPr="003B5DC9" w:rsidRDefault="008A7CD9" w:rsidP="003B5DC9">
      <w:pPr>
        <w:tabs>
          <w:tab w:val="left" w:pos="8640"/>
        </w:tabs>
        <w:spacing w:line="276" w:lineRule="auto"/>
        <w:jc w:val="both"/>
        <w:rPr>
          <w:rFonts w:cs="Arial"/>
        </w:rPr>
      </w:pPr>
      <w:r w:rsidRPr="00565F47">
        <w:rPr>
          <w:rFonts w:cs="Arial"/>
          <w:iCs/>
        </w:rPr>
        <w:t>LSI1 may be payable after 3 years satisfactory service at the maximum, LSI2 may be payable after 6 years satisfactory service at the maximum.</w:t>
      </w:r>
      <w:r w:rsidR="003B5DC9">
        <w:rPr>
          <w:rFonts w:cs="Arial"/>
        </w:rPr>
        <w:t xml:space="preserve">  </w:t>
      </w:r>
      <w:r w:rsidRPr="00565F47">
        <w:rPr>
          <w:rFonts w:cs="Arial"/>
        </w:rPr>
        <w:t>This rate will apply where the appointee is newly recruited to the Civil Service and is making a personal pension contribution.</w:t>
      </w:r>
      <w:r w:rsidR="003B5DC9">
        <w:rPr>
          <w:rFonts w:cs="Arial"/>
        </w:rPr>
        <w:t xml:space="preserve">  </w:t>
      </w:r>
      <w:r w:rsidRPr="00565F47">
        <w:rPr>
          <w:rFonts w:cs="Arial"/>
        </w:rPr>
        <w:t>Different pay and conditions may apply for existing civil / public servants. The rate of remuneration may be adjusted from time to time in line with Government pay policy.</w:t>
      </w:r>
      <w:r w:rsidR="003B5DC9">
        <w:rPr>
          <w:rFonts w:cs="Arial"/>
        </w:rPr>
        <w:t xml:space="preserve">  </w:t>
      </w:r>
      <w:r w:rsidRPr="00565F47">
        <w:rPr>
          <w:rFonts w:cs="Arial"/>
          <w:color w:val="000000"/>
        </w:rPr>
        <w:t xml:space="preserve">Increments may be awarded annually subject to satisfactory performance. </w:t>
      </w:r>
    </w:p>
    <w:p w14:paraId="3A1ECB25" w14:textId="77777777" w:rsidR="00D81F31" w:rsidRDefault="00D81F31" w:rsidP="000A1875">
      <w:pPr>
        <w:rPr>
          <w:rFonts w:cs="Arial"/>
        </w:rPr>
      </w:pPr>
    </w:p>
    <w:p w14:paraId="49F0005A" w14:textId="77777777" w:rsidR="00FF1F06" w:rsidRPr="00745421" w:rsidRDefault="00FF1F06"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62453A3A" w14:textId="77777777" w:rsidR="002363EE" w:rsidRPr="00395D94" w:rsidRDefault="002363EE" w:rsidP="00B175BA">
      <w:pPr>
        <w:pStyle w:val="Smallheadingorange"/>
      </w:pPr>
      <w:r w:rsidRPr="00B175BA">
        <w:t>Tenure</w:t>
      </w:r>
    </w:p>
    <w:p w14:paraId="4003199E" w14:textId="2F8AAEFB" w:rsidR="00B10BD7" w:rsidRDefault="004308FB" w:rsidP="001238EC">
      <w:pPr>
        <w:pStyle w:val="NoSpacing"/>
      </w:pPr>
      <w:r w:rsidRPr="00D85C0F">
        <w:rPr>
          <w:rFonts w:ascii="Arial" w:hAnsi="Arial" w:cs="Arial"/>
          <w:sz w:val="20"/>
          <w:szCs w:val="20"/>
        </w:rPr>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5F619B21" w14:textId="77777777" w:rsidR="00B10BD7" w:rsidRDefault="00B10BD7" w:rsidP="001238EC">
      <w:pPr>
        <w:pStyle w:val="NoSpacing"/>
        <w:rPr>
          <w:sz w:val="20"/>
          <w:szCs w:val="20"/>
        </w:rPr>
      </w:pPr>
    </w:p>
    <w:p w14:paraId="735D3D15" w14:textId="48A3DD65" w:rsidR="00B10BD7" w:rsidRPr="001238EC" w:rsidRDefault="00B10BD7" w:rsidP="001238EC">
      <w:pPr>
        <w:pStyle w:val="NoSpacing"/>
        <w:rPr>
          <w:sz w:val="20"/>
          <w:szCs w:val="20"/>
        </w:rPr>
      </w:pPr>
      <w:r w:rsidRPr="001238EC">
        <w:rPr>
          <w:rFonts w:ascii="Arial" w:hAnsi="Arial" w:cs="Arial"/>
          <w:sz w:val="20"/>
          <w:szCs w:val="20"/>
        </w:rPr>
        <w:t>The appointment is to a permanent, established position in the Legal Aid Board with a 12 month probationary established period and will be offered on a full-time basis.</w:t>
      </w:r>
    </w:p>
    <w:p w14:paraId="5955EC1E" w14:textId="77777777" w:rsidR="00B10BD7" w:rsidRDefault="00B10BD7" w:rsidP="00B10BD7">
      <w:pPr>
        <w:pStyle w:val="Smallheadingorange"/>
      </w:pPr>
      <w:r>
        <w:t>Duties</w:t>
      </w:r>
    </w:p>
    <w:p w14:paraId="7EC833E8" w14:textId="2F8B54C8" w:rsidR="008522C9" w:rsidRPr="009E1967" w:rsidRDefault="008522C9" w:rsidP="00D81F31">
      <w:pPr>
        <w:pStyle w:val="LABBody10pt"/>
        <w:rPr>
          <w:rStyle w:val="fontstyle01"/>
          <w:rFonts w:eastAsia="Calibri"/>
          <w:sz w:val="20"/>
          <w:szCs w:val="20"/>
        </w:rPr>
      </w:pPr>
      <w:r w:rsidRPr="00FA02E7">
        <w:rPr>
          <w:rStyle w:val="fontstyle01"/>
          <w:rFonts w:eastAsia="Calibri"/>
          <w:sz w:val="20"/>
          <w:szCs w:val="20"/>
        </w:rPr>
        <w:t>Appointees will be required to perform any duties which may be assigned to them from time</w:t>
      </w:r>
      <w:r w:rsidRPr="00053EE8">
        <w:br/>
      </w:r>
      <w:r w:rsidRPr="00AE570F">
        <w:rPr>
          <w:rStyle w:val="fontstyle01"/>
          <w:rFonts w:eastAsia="Calibri"/>
          <w:sz w:val="20"/>
          <w:szCs w:val="20"/>
        </w:rPr>
        <w:t>to time as appropriate</w:t>
      </w:r>
      <w:r w:rsidR="004308FB" w:rsidRPr="00AE570F">
        <w:rPr>
          <w:rStyle w:val="fontstyle01"/>
          <w:rFonts w:eastAsia="Calibri"/>
          <w:sz w:val="20"/>
          <w:szCs w:val="20"/>
        </w:rPr>
        <w:t>.</w:t>
      </w:r>
    </w:p>
    <w:p w14:paraId="3FAD0BFF" w14:textId="4A643091" w:rsidR="002363EE" w:rsidRPr="00395D94" w:rsidRDefault="008522C9" w:rsidP="00B175BA">
      <w:pPr>
        <w:pStyle w:val="Smallheadingorange"/>
      </w:pPr>
      <w:r>
        <w:t>Outside Employment</w:t>
      </w:r>
    </w:p>
    <w:p w14:paraId="1C6CFF04" w14:textId="0429B815" w:rsidR="004308FB" w:rsidRPr="004308FB" w:rsidRDefault="005D30CA" w:rsidP="004308FB">
      <w:pPr>
        <w:pStyle w:val="DefaultTextCharCharChar"/>
        <w:spacing w:line="276" w:lineRule="auto"/>
        <w:ind w:right="26"/>
        <w:rPr>
          <w:rFonts w:cs="Arial"/>
          <w:color w:val="000000"/>
          <w:sz w:val="20"/>
          <w:szCs w:val="20"/>
        </w:rPr>
      </w:pPr>
      <w:r w:rsidRPr="004308FB">
        <w:rPr>
          <w:sz w:val="20"/>
          <w:szCs w:val="20"/>
        </w:rPr>
        <w:t>The successful candidates may not engage in private practice or be connected with any outside business which would interfere with the performance of official duties or conflict in any way with the position of a</w:t>
      </w:r>
      <w:r w:rsidR="004308FB" w:rsidRPr="004308FB">
        <w:rPr>
          <w:sz w:val="20"/>
          <w:szCs w:val="20"/>
        </w:rPr>
        <w:t xml:space="preserve"> </w:t>
      </w:r>
      <w:r w:rsidR="004308FB" w:rsidRPr="004308FB">
        <w:rPr>
          <w:rFonts w:cs="Arial"/>
          <w:color w:val="000000"/>
          <w:sz w:val="20"/>
          <w:szCs w:val="20"/>
        </w:rPr>
        <w:t xml:space="preserve"> Director of  Internal Service </w:t>
      </w:r>
      <w:r w:rsidR="004308FB">
        <w:rPr>
          <w:rFonts w:cs="Arial"/>
          <w:color w:val="000000"/>
          <w:sz w:val="20"/>
          <w:szCs w:val="20"/>
        </w:rPr>
        <w:t>D</w:t>
      </w:r>
      <w:r w:rsidR="004308FB" w:rsidRPr="004308FB">
        <w:rPr>
          <w:rFonts w:cs="Arial"/>
          <w:color w:val="000000"/>
          <w:sz w:val="20"/>
          <w:szCs w:val="20"/>
        </w:rPr>
        <w:t>elivery (Civil).</w:t>
      </w:r>
    </w:p>
    <w:p w14:paraId="229A47B6" w14:textId="77777777" w:rsidR="003B5DC9" w:rsidRDefault="003B5DC9" w:rsidP="00B175BA">
      <w:pPr>
        <w:pStyle w:val="Smallheadingorange"/>
      </w:pPr>
    </w:p>
    <w:p w14:paraId="5DB0CA71" w14:textId="77777777" w:rsidR="002363EE" w:rsidRPr="000532E7" w:rsidRDefault="002363EE" w:rsidP="00B175BA">
      <w:pPr>
        <w:pStyle w:val="Smallheadingorange"/>
      </w:pPr>
      <w:r w:rsidRPr="00395D94">
        <w:t>Headquarters</w:t>
      </w:r>
    </w:p>
    <w:p w14:paraId="517929C1" w14:textId="635649B6" w:rsidR="004308FB" w:rsidRDefault="004308FB" w:rsidP="004308FB">
      <w:pPr>
        <w:pStyle w:val="DefaultTextCharCharCharCharChar"/>
        <w:tabs>
          <w:tab w:val="left" w:pos="720"/>
          <w:tab w:val="left" w:pos="810"/>
          <w:tab w:val="left" w:pos="2970"/>
          <w:tab w:val="left" w:pos="3690"/>
          <w:tab w:val="left" w:pos="5850"/>
        </w:tabs>
        <w:spacing w:line="276" w:lineRule="auto"/>
        <w:ind w:right="26"/>
        <w:outlineLvl w:val="0"/>
        <w:rPr>
          <w:rFonts w:eastAsia="Times New Roman" w:cs="Arial"/>
          <w:color w:val="000000"/>
          <w:sz w:val="20"/>
          <w:szCs w:val="20"/>
        </w:rPr>
      </w:pPr>
      <w:r w:rsidRPr="000532E7">
        <w:rPr>
          <w:rFonts w:eastAsia="Times New Roman" w:cs="Arial"/>
          <w:color w:val="000000"/>
          <w:sz w:val="20"/>
          <w:szCs w:val="20"/>
        </w:rPr>
        <w:t>The successful candidate will be required to spend significant amounts of time in the Board’s Dublin management office (currently at 48/49 North Brunswick St, George’s Lane, Dublin 7) and will be headquartered there. The Board may co</w:t>
      </w:r>
      <w:r w:rsidRPr="00565F47">
        <w:rPr>
          <w:rFonts w:eastAsia="Times New Roman" w:cs="Arial"/>
          <w:color w:val="000000"/>
          <w:sz w:val="20"/>
          <w:szCs w:val="20"/>
        </w:rPr>
        <w:t xml:space="preserve">nsider facilitating the successful candidate in operating from one of its other offices if </w:t>
      </w:r>
      <w:r w:rsidRPr="000532E7">
        <w:rPr>
          <w:rFonts w:eastAsia="Times New Roman" w:cs="Arial"/>
          <w:color w:val="000000"/>
          <w:sz w:val="20"/>
          <w:szCs w:val="20"/>
        </w:rPr>
        <w:t>it considers it feasible to do so.  When absent from home and headquarters on official duty the Director will be paid appropriate travelling expenses and subsistence allowances, subject to normal civil service regulations.</w:t>
      </w:r>
      <w:r w:rsidR="00F24933">
        <w:rPr>
          <w:rFonts w:eastAsia="Times New Roman" w:cs="Arial"/>
          <w:color w:val="000000"/>
          <w:sz w:val="20"/>
          <w:szCs w:val="20"/>
        </w:rPr>
        <w:t xml:space="preserve">  The successful candidate will be required to make periodic visits to Board offices as required including head office, Cahirciveen, Co. Kerry.</w:t>
      </w:r>
    </w:p>
    <w:p w14:paraId="64D1DFF9" w14:textId="77777777" w:rsidR="001A63B7" w:rsidRPr="000532E7" w:rsidRDefault="001A63B7" w:rsidP="004308FB">
      <w:pPr>
        <w:pStyle w:val="DefaultTextCharCharCharCharChar"/>
        <w:tabs>
          <w:tab w:val="left" w:pos="720"/>
          <w:tab w:val="left" w:pos="810"/>
          <w:tab w:val="left" w:pos="2970"/>
          <w:tab w:val="left" w:pos="3690"/>
          <w:tab w:val="left" w:pos="5850"/>
        </w:tabs>
        <w:spacing w:line="276" w:lineRule="auto"/>
        <w:ind w:right="26"/>
        <w:outlineLvl w:val="0"/>
        <w:rPr>
          <w:rFonts w:cs="Arial"/>
          <w:bCs/>
          <w:color w:val="000000"/>
          <w:sz w:val="20"/>
          <w:szCs w:val="20"/>
        </w:rPr>
      </w:pPr>
    </w:p>
    <w:p w14:paraId="492ECF1A" w14:textId="01E22E97" w:rsidR="005D30CA" w:rsidRPr="00A56856" w:rsidRDefault="005D30CA" w:rsidP="00D81F31">
      <w:pPr>
        <w:pStyle w:val="LABBody10pt"/>
        <w:rPr>
          <w:lang w:val="en-GB"/>
        </w:rPr>
      </w:pPr>
      <w:r w:rsidRPr="00A56856">
        <w:rPr>
          <w:lang w:val="en-GB"/>
        </w:rPr>
        <w:t xml:space="preserve">When absent from home and headquarters on official duty </w:t>
      </w:r>
      <w:r w:rsidR="005652F7">
        <w:rPr>
          <w:lang w:val="en-GB"/>
        </w:rPr>
        <w:t xml:space="preserve">the Director </w:t>
      </w:r>
      <w:r w:rsidRPr="00A56856">
        <w:rPr>
          <w:lang w:val="en-GB"/>
        </w:rPr>
        <w:t>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70B66B65" w14:textId="2106778E" w:rsidR="005652F7" w:rsidRPr="00565F47" w:rsidRDefault="005652F7" w:rsidP="005652F7">
      <w:pPr>
        <w:pStyle w:val="LABBody10pt"/>
        <w:rPr>
          <w:color w:val="000000"/>
          <w:lang w:val="en-GB"/>
        </w:rPr>
      </w:pPr>
      <w:r w:rsidRPr="000532E7">
        <w:rPr>
          <w:color w:val="000000"/>
        </w:rPr>
        <w:t xml:space="preserve">Hours of </w:t>
      </w:r>
      <w:r w:rsidRPr="000532E7">
        <w:rPr>
          <w:color w:val="000000"/>
          <w:lang w:val="en-GB"/>
        </w:rPr>
        <w:t>attendance will be fixed from time to time but will amount to not less than 43.25 hours gross per week. The Director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10254A38" w:rsidR="002363EE" w:rsidRPr="00565F47" w:rsidRDefault="005652F7" w:rsidP="00B175BA">
      <w:pPr>
        <w:pStyle w:val="Smallheadingorange"/>
      </w:pPr>
      <w:r>
        <w:t>A</w:t>
      </w:r>
      <w:r w:rsidR="002363EE" w:rsidRPr="00565F47">
        <w:t>nnual Leave</w:t>
      </w:r>
    </w:p>
    <w:p w14:paraId="5444B13C" w14:textId="1958A166" w:rsidR="005652F7" w:rsidRPr="00565F47" w:rsidRDefault="005D30CA" w:rsidP="005652F7">
      <w:pPr>
        <w:pStyle w:val="LABBody10pt"/>
        <w:rPr>
          <w:color w:val="000000"/>
        </w:rPr>
      </w:pPr>
      <w:r w:rsidRPr="00A56856">
        <w:rPr>
          <w:lang w:val="en-GB"/>
        </w:rPr>
        <w:t xml:space="preserve">The annual leave for this position is </w:t>
      </w:r>
      <w:r w:rsidR="005652F7">
        <w:rPr>
          <w:lang w:val="en-GB"/>
        </w:rPr>
        <w:t xml:space="preserve">30 </w:t>
      </w:r>
      <w:r w:rsidRPr="00A56856">
        <w:rPr>
          <w:lang w:val="en-GB"/>
        </w:rPr>
        <w:t>days</w:t>
      </w:r>
      <w:r w:rsidR="00B10BD7">
        <w:rPr>
          <w:lang w:val="en-GB"/>
        </w:rPr>
        <w:t>.</w:t>
      </w:r>
      <w:r w:rsidRPr="00A56856">
        <w:rPr>
          <w:lang w:val="en-GB"/>
        </w:rPr>
        <w:t xml:space="preserve"> This allowance is subject to the usual conditions regarding the granting of annual leave in the civil service, is based on a five-day week and is exclusive of the usual public holidays.</w:t>
      </w:r>
      <w:r w:rsidR="00D81F31">
        <w:rPr>
          <w:lang w:val="en-GB"/>
        </w:rPr>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1"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2"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0259FA83" w14:textId="77777777" w:rsidR="003B5DC9" w:rsidRDefault="003B5DC9" w:rsidP="00962AA3">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50EC2890" w14:textId="77777777" w:rsidR="003B5DC9" w:rsidRDefault="003B5DC9" w:rsidP="005D30CA">
      <w:pPr>
        <w:pStyle w:val="Smallheadingorange"/>
      </w:pPr>
    </w:p>
    <w:p w14:paraId="0EDD0644" w14:textId="77777777" w:rsidR="003B5DC9" w:rsidRDefault="003B5DC9" w:rsidP="005D30CA">
      <w:pPr>
        <w:pStyle w:val="Smallheadingorange"/>
      </w:pP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3"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4"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5"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4F142584" w:rsidR="003E277A" w:rsidRPr="00352568" w:rsidRDefault="003E277A" w:rsidP="00E01CB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Default="00973F10" w:rsidP="00973F10">
      <w:pPr>
        <w:pStyle w:val="LABSection"/>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50462309"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003B5DC9">
        <w:rPr>
          <w:bCs/>
        </w:rPr>
        <w:t xml:space="preserve"> </w:t>
      </w:r>
      <w:r w:rsidRPr="00352568">
        <w:t xml:space="preserve">Application forms are only available from our website at </w:t>
      </w:r>
      <w:hyperlink r:id="rId16"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3291FE65" w:rsidR="002363EE" w:rsidRPr="00D85C0F" w:rsidRDefault="002363EE" w:rsidP="00B175BA">
      <w:pPr>
        <w:pStyle w:val="LABBody10pt"/>
        <w:rPr>
          <w:bCs/>
        </w:rPr>
      </w:pPr>
      <w:r w:rsidRPr="00D85C0F">
        <w:rPr>
          <w:bCs/>
        </w:rPr>
        <w:t xml:space="preserve">Application forms submitted by email must be sent in </w:t>
      </w:r>
      <w:r w:rsidRPr="00D85C0F">
        <w:rPr>
          <w:b/>
          <w:bCs/>
        </w:rPr>
        <w:t>.PDF or MS Word format only</w:t>
      </w:r>
      <w:r w:rsidRPr="00D85C0F">
        <w:rPr>
          <w:bCs/>
        </w:rPr>
        <w:t xml:space="preserve">. </w:t>
      </w:r>
    </w:p>
    <w:p w14:paraId="410EAE5A" w14:textId="0DE3B979" w:rsidR="003E277A" w:rsidRPr="003E277A" w:rsidRDefault="002363EE" w:rsidP="003E277A">
      <w:pPr>
        <w:pStyle w:val="LABBody10pt"/>
        <w:spacing w:after="240"/>
        <w:rPr>
          <w:bCs/>
        </w:rPr>
      </w:pPr>
      <w:r w:rsidRPr="00D85C0F">
        <w:rPr>
          <w:bCs/>
        </w:rPr>
        <w:t>Completed application forms must be submitted by email to</w:t>
      </w:r>
      <w:r w:rsidR="00D35874">
        <w:rPr>
          <w:bCs/>
        </w:rPr>
        <w:t xml:space="preserve"> Director of Internal Service Delivery (Civil) Recruitment Competition </w:t>
      </w:r>
      <w:r w:rsidR="0016277E">
        <w:rPr>
          <w:bCs/>
        </w:rPr>
        <w:t xml:space="preserve">at </w:t>
      </w:r>
      <w:hyperlink r:id="rId17" w:history="1">
        <w:r w:rsidR="00D35874" w:rsidRPr="00A0725D">
          <w:rPr>
            <w:rStyle w:val="Hyperlink"/>
            <w:bCs/>
          </w:rPr>
          <w:t>lxosullivan@legalaidboard.ie</w:t>
        </w:r>
      </w:hyperlink>
      <w:hyperlink r:id="rId18" w:history="1"/>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A64463" w:rsidRDefault="003E277A" w:rsidP="003E277A">
            <w:pPr>
              <w:spacing w:before="240" w:after="240"/>
              <w:ind w:left="170" w:right="170"/>
              <w:rPr>
                <w:bCs/>
              </w:rPr>
            </w:pPr>
            <w:r w:rsidRPr="00A64463">
              <w:rPr>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74675E2A"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B25125">
        <w:rPr>
          <w:b/>
        </w:rPr>
        <w:t>Monday 10</w:t>
      </w:r>
      <w:r w:rsidR="00B25125" w:rsidRPr="00357DFF">
        <w:rPr>
          <w:b/>
          <w:vertAlign w:val="superscript"/>
        </w:rPr>
        <w:t>th</w:t>
      </w:r>
      <w:r w:rsidR="00B25125">
        <w:rPr>
          <w:b/>
        </w:rPr>
        <w:t xml:space="preserve"> May</w:t>
      </w:r>
      <w:r w:rsidRPr="00D85C0F">
        <w:rPr>
          <w:b/>
        </w:rPr>
        <w:t xml:space="preserve"> 2021.  </w:t>
      </w:r>
      <w:r w:rsidRPr="00D85C0F">
        <w:t xml:space="preserve">If you do not receive an acknowledgement of receipt of your application within 2 working days of applying, please contact: Human Resources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76414B3F" w14:textId="77777777" w:rsidR="00D35874" w:rsidRPr="00BA27BD" w:rsidRDefault="00D35874" w:rsidP="00D35874">
      <w:pPr>
        <w:pStyle w:val="LABBullets"/>
      </w:pPr>
      <w:r w:rsidRPr="00BA27BD">
        <w:t>Shortlisting of candidates on the basis of the information contained in their application</w:t>
      </w:r>
      <w:r>
        <w:t xml:space="preserve"> form;</w:t>
      </w:r>
    </w:p>
    <w:p w14:paraId="41F0A97F" w14:textId="1B6A040A" w:rsidR="00D35874" w:rsidRDefault="00D35874" w:rsidP="00D35874">
      <w:pPr>
        <w:pStyle w:val="LABBullets"/>
      </w:pPr>
      <w:r>
        <w:t xml:space="preserve">Candidates shortlisted will be invited for a first </w:t>
      </w:r>
      <w:r w:rsidRPr="00BA27BD">
        <w:t>interview</w:t>
      </w:r>
      <w:r>
        <w:t>;</w:t>
      </w:r>
      <w:r w:rsidRPr="00BA27BD" w:rsidDel="00022140">
        <w:t xml:space="preserve"> </w:t>
      </w:r>
    </w:p>
    <w:p w14:paraId="48A33F7C" w14:textId="77777777" w:rsidR="00D35874" w:rsidRPr="00BA27BD" w:rsidRDefault="00D35874" w:rsidP="00D35874">
      <w:pPr>
        <w:pStyle w:val="LABBullets"/>
      </w:pPr>
      <w:r w:rsidRPr="00BA27BD">
        <w:t>Participation in a psychometric assessment; and</w:t>
      </w:r>
    </w:p>
    <w:p w14:paraId="39C7436D" w14:textId="77777777" w:rsidR="00D35874" w:rsidRPr="00BA27BD" w:rsidRDefault="00D35874" w:rsidP="00D35874">
      <w:pPr>
        <w:pStyle w:val="LABBullets"/>
      </w:pPr>
      <w:r w:rsidRPr="00BA27BD">
        <w:t xml:space="preserve">A second interview with a reduced number of candidates which </w:t>
      </w:r>
      <w:r>
        <w:t xml:space="preserve">will </w:t>
      </w:r>
      <w:r w:rsidRPr="00BA27BD">
        <w:t xml:space="preserve">include </w:t>
      </w:r>
      <w:r>
        <w:t>a</w:t>
      </w:r>
      <w:r w:rsidRPr="00BA27BD">
        <w:t xml:space="preserve"> presentation by the candidate</w:t>
      </w:r>
      <w:r>
        <w:t xml:space="preserve"> the topic of which the candidate will be advised</w:t>
      </w:r>
      <w:r w:rsidRPr="00BA27BD">
        <w:t>.</w:t>
      </w:r>
    </w:p>
    <w:p w14:paraId="2C727C19" w14:textId="77777777" w:rsidR="00D35874" w:rsidRPr="00D85C0F" w:rsidRDefault="00D35874" w:rsidP="00D35874">
      <w:pPr>
        <w:pStyle w:val="LABBullets"/>
        <w:numPr>
          <w:ilvl w:val="0"/>
          <w:numId w:val="0"/>
        </w:numPr>
      </w:pPr>
    </w:p>
    <w:p w14:paraId="3F0F9A35" w14:textId="77777777" w:rsidR="00D35874" w:rsidRPr="00D85C0F" w:rsidRDefault="00D35874" w:rsidP="00D35874">
      <w:pPr>
        <w:autoSpaceDE w:val="0"/>
        <w:autoSpaceDN w:val="0"/>
        <w:adjustRightInd w:val="0"/>
        <w:spacing w:line="276" w:lineRule="auto"/>
        <w:ind w:left="11"/>
        <w:rPr>
          <w:rFonts w:cs="Arial"/>
        </w:rPr>
      </w:pPr>
      <w:r w:rsidRPr="00D85C0F">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549BB5E6" w14:textId="77777777" w:rsidR="00D35874" w:rsidRPr="00D85C0F" w:rsidRDefault="00D35874" w:rsidP="00D35874">
      <w:pPr>
        <w:autoSpaceDE w:val="0"/>
        <w:autoSpaceDN w:val="0"/>
        <w:adjustRightInd w:val="0"/>
        <w:spacing w:line="276" w:lineRule="auto"/>
        <w:ind w:left="11"/>
        <w:rPr>
          <w:rFonts w:cs="Arial"/>
        </w:rPr>
      </w:pPr>
    </w:p>
    <w:p w14:paraId="749E1FCE" w14:textId="77777777" w:rsidR="00D35874" w:rsidRPr="00D85C0F" w:rsidRDefault="00D35874" w:rsidP="00D35874">
      <w:pPr>
        <w:pStyle w:val="BodyText2"/>
        <w:spacing w:line="276" w:lineRule="auto"/>
        <w:rPr>
          <w:rFonts w:cs="Arial"/>
        </w:rPr>
      </w:pPr>
      <w:r w:rsidRPr="00D85C0F">
        <w:rPr>
          <w:rFonts w:cs="Arial"/>
        </w:rPr>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2BEAE5F5" w14:textId="6051EED2" w:rsidR="002363EE" w:rsidRPr="00D85C0F" w:rsidRDefault="002363EE" w:rsidP="00B175BA">
      <w:pPr>
        <w:pStyle w:val="LABBody10pt"/>
      </w:pPr>
      <w:r w:rsidRPr="00D85C0F">
        <w:t>Subject to the provisions of the Freedom of Information Act, 1997 applications will be treated in strict confidence</w:t>
      </w:r>
      <w:r w:rsidR="008F6121">
        <w:t xml:space="preserve">.  </w:t>
      </w:r>
      <w:r w:rsidRPr="00D85C0F">
        <w:t>All enquires, applications and all aspects of the proceedings are treated as strictly confidential and are not disclosed to anyone, outside those directly involved in that aspect of the process</w:t>
      </w:r>
      <w:r w:rsidR="008F6121">
        <w:t>. C</w:t>
      </w:r>
      <w:r w:rsidRPr="00D85C0F">
        <w:t>ertain items of information, not specific to any individual, are extracted from computer records for general statistical purposes.</w:t>
      </w:r>
    </w:p>
    <w:p w14:paraId="6D84BA1F" w14:textId="3C9454C3" w:rsidR="002363EE" w:rsidRPr="00D85C0F" w:rsidRDefault="008F6121" w:rsidP="00B175BA">
      <w:pPr>
        <w:pStyle w:val="Smallheadingorange"/>
      </w:pPr>
      <w:r>
        <w:t>Health</w:t>
      </w:r>
      <w:r w:rsidR="00AF1677">
        <w:t xml:space="preserve">, </w:t>
      </w:r>
      <w:r>
        <w:t>character</w:t>
      </w:r>
      <w:r w:rsidR="00AF1677">
        <w:t>, Garda Vetting</w:t>
      </w:r>
    </w:p>
    <w:p w14:paraId="50009CCE" w14:textId="25B6A129" w:rsidR="002363EE" w:rsidRPr="00B175BA" w:rsidRDefault="008F6121" w:rsidP="00B175BA">
      <w:pPr>
        <w:pStyle w:val="LABBody10pt"/>
      </w:pPr>
      <w:r>
        <w:t>Applicants must be in good health, capable and competent of carrying out the work assigned to them and they must be of good character.  Those under consideration for a position will be required to complete a health and character declaration.  References will be sought.  A</w:t>
      </w:r>
      <w:r w:rsidR="002363EE" w:rsidRPr="00D85C0F">
        <w:t>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4D29AB87" w14:textId="77777777" w:rsidR="00F24933" w:rsidRDefault="00F24933" w:rsidP="00B41008">
      <w:pPr>
        <w:pStyle w:val="LABSection"/>
      </w:pPr>
    </w:p>
    <w:p w14:paraId="52A64736" w14:textId="77777777" w:rsidR="00F24933" w:rsidRDefault="00F24933"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A64463">
        <w:rPr>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71DD35F" w14:textId="4187AD9A" w:rsidR="00973F10" w:rsidRDefault="002363EE" w:rsidP="00973F10">
      <w:pPr>
        <w:spacing w:after="200" w:line="276" w:lineRule="auto"/>
      </w:pPr>
      <w:r>
        <w:tab/>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0BB7E6F" w14:textId="67C93564" w:rsidR="002363EE" w:rsidRPr="000971C5" w:rsidRDefault="00C734B4">
      <w:pPr>
        <w:spacing w:after="60"/>
        <w:outlineLvl w:val="1"/>
        <w:rPr>
          <w:rFonts w:eastAsia="Times New Roman" w:cs="Arial"/>
          <w:sz w:val="22"/>
          <w:szCs w:val="22"/>
          <w:u w:val="single"/>
        </w:rPr>
      </w:pPr>
      <w:r>
        <w:rPr>
          <w:sz w:val="22"/>
          <w:szCs w:val="22"/>
          <w:u w:val="single"/>
        </w:rPr>
        <w:br w:type="page"/>
      </w:r>
      <w:r w:rsidR="00D75E2A">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sidR="00D75E2A">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3B5DC9" w:rsidRDefault="003B5DC9" w:rsidP="00D75E2A">
                            <w:pPr>
                              <w:pStyle w:val="LABSection"/>
                              <w:rPr>
                                <w:lang w:val="en-GB"/>
                              </w:rPr>
                            </w:pPr>
                            <w:r>
                              <w:rPr>
                                <w:lang w:val="en-GB"/>
                              </w:rPr>
                              <w:t>Contact Us</w:t>
                            </w:r>
                          </w:p>
                          <w:p w14:paraId="1AC9B0C1" w14:textId="783483CB" w:rsidR="003B5DC9" w:rsidRPr="00D02FE2" w:rsidRDefault="003B5DC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r w:rsidRPr="001238EC">
                              <w:rPr>
                                <w:bCs/>
                                <w:sz w:val="22"/>
                                <w:szCs w:val="22"/>
                              </w:rPr>
                              <w:t>lxosullivan@legalaidboard.ie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68EABE9" w14:textId="77777777" w:rsidR="003B5DC9" w:rsidRPr="00D02FE2" w:rsidRDefault="003B5DC9"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3B5DC9" w:rsidRDefault="003B5DC9" w:rsidP="00D75E2A">
                      <w:pPr>
                        <w:pStyle w:val="LABSection"/>
                        <w:rPr>
                          <w:lang w:val="en-GB"/>
                        </w:rPr>
                      </w:pPr>
                      <w:r>
                        <w:rPr>
                          <w:lang w:val="en-GB"/>
                        </w:rPr>
                        <w:t>Contact Us</w:t>
                      </w:r>
                    </w:p>
                    <w:p w14:paraId="1AC9B0C1" w14:textId="783483CB" w:rsidR="003B5DC9" w:rsidRPr="00D02FE2" w:rsidRDefault="003B5DC9"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r w:rsidRPr="001238EC">
                        <w:rPr>
                          <w:bCs/>
                          <w:sz w:val="22"/>
                          <w:szCs w:val="22"/>
                        </w:rPr>
                        <w:t>lxosullivan@legalaidboard.ie</w:t>
                      </w:r>
                      <w:r w:rsidRPr="001238EC">
                        <w:rPr>
                          <w:rFonts w:ascii="Helvetica" w:hAnsi="Helvetica"/>
                          <w:sz w:val="22"/>
                          <w:szCs w:val="22"/>
                        </w:rPr>
                        <w:t xml:space="preserve"> </w:t>
                      </w:r>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3B5DC9" w:rsidRPr="00D02FE2" w:rsidRDefault="003B5DC9" w:rsidP="00D75E2A">
                      <w:pPr>
                        <w:pStyle w:val="LABBody10pt"/>
                        <w:rPr>
                          <w:lang w:val="en-GB"/>
                        </w:rPr>
                      </w:pPr>
                    </w:p>
                  </w:txbxContent>
                </v:textbox>
              </v:shape>
            </w:pict>
          </mc:Fallback>
        </mc:AlternateContent>
      </w:r>
    </w:p>
    <w:sectPr w:rsidR="002363EE" w:rsidRPr="000971C5" w:rsidSect="00076D94">
      <w:footerReference w:type="default" r:id="rId2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3B5DC9" w:rsidRDefault="003B5DC9" w:rsidP="00E61996">
      <w:r>
        <w:separator/>
      </w:r>
    </w:p>
  </w:endnote>
  <w:endnote w:type="continuationSeparator" w:id="0">
    <w:p w14:paraId="57328D56" w14:textId="77777777" w:rsidR="003B5DC9" w:rsidRDefault="003B5DC9"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3B5DC9" w:rsidRDefault="003B5DC9">
        <w:pPr>
          <w:pStyle w:val="Footer"/>
        </w:pPr>
        <w:r>
          <w:fldChar w:fldCharType="begin"/>
        </w:r>
        <w:r>
          <w:instrText xml:space="preserve"> PAGE   \* MERGEFORMAT </w:instrText>
        </w:r>
        <w:r>
          <w:fldChar w:fldCharType="separate"/>
        </w:r>
        <w:r w:rsidR="00E27898">
          <w:rPr>
            <w:noProof/>
          </w:rPr>
          <w:t>7</w:t>
        </w:r>
        <w:r>
          <w:rPr>
            <w:noProof/>
          </w:rPr>
          <w:fldChar w:fldCharType="end"/>
        </w:r>
      </w:p>
    </w:sdtContent>
  </w:sdt>
  <w:p w14:paraId="71708B19" w14:textId="77777777" w:rsidR="003B5DC9" w:rsidRDefault="003B5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3B5DC9" w:rsidRDefault="003B5DC9" w:rsidP="00E61996">
      <w:r>
        <w:separator/>
      </w:r>
    </w:p>
  </w:footnote>
  <w:footnote w:type="continuationSeparator" w:id="0">
    <w:p w14:paraId="4A62BF32" w14:textId="77777777" w:rsidR="003B5DC9" w:rsidRDefault="003B5DC9"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824428"/>
    <w:multiLevelType w:val="hybridMultilevel"/>
    <w:tmpl w:val="DF463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C433303"/>
    <w:multiLevelType w:val="hybridMultilevel"/>
    <w:tmpl w:val="87241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6"/>
  </w:num>
  <w:num w:numId="4">
    <w:abstractNumId w:val="16"/>
  </w:num>
  <w:num w:numId="5">
    <w:abstractNumId w:val="22"/>
  </w:num>
  <w:num w:numId="6">
    <w:abstractNumId w:val="19"/>
  </w:num>
  <w:num w:numId="7">
    <w:abstractNumId w:val="24"/>
  </w:num>
  <w:num w:numId="8">
    <w:abstractNumId w:val="9"/>
  </w:num>
  <w:num w:numId="9">
    <w:abstractNumId w:val="15"/>
  </w:num>
  <w:num w:numId="10">
    <w:abstractNumId w:val="30"/>
  </w:num>
  <w:num w:numId="11">
    <w:abstractNumId w:val="4"/>
  </w:num>
  <w:num w:numId="12">
    <w:abstractNumId w:val="17"/>
  </w:num>
  <w:num w:numId="13">
    <w:abstractNumId w:val="6"/>
  </w:num>
  <w:num w:numId="14">
    <w:abstractNumId w:val="8"/>
  </w:num>
  <w:num w:numId="15">
    <w:abstractNumId w:val="31"/>
  </w:num>
  <w:num w:numId="16">
    <w:abstractNumId w:val="2"/>
  </w:num>
  <w:num w:numId="17">
    <w:abstractNumId w:val="3"/>
  </w:num>
  <w:num w:numId="18">
    <w:abstractNumId w:val="27"/>
  </w:num>
  <w:num w:numId="19">
    <w:abstractNumId w:val="29"/>
  </w:num>
  <w:num w:numId="20">
    <w:abstractNumId w:val="11"/>
  </w:num>
  <w:num w:numId="21">
    <w:abstractNumId w:val="18"/>
  </w:num>
  <w:num w:numId="22">
    <w:abstractNumId w:val="21"/>
  </w:num>
  <w:num w:numId="23">
    <w:abstractNumId w:val="33"/>
  </w:num>
  <w:num w:numId="24">
    <w:abstractNumId w:val="28"/>
  </w:num>
  <w:num w:numId="25">
    <w:abstractNumId w:val="13"/>
  </w:num>
  <w:num w:numId="26">
    <w:abstractNumId w:val="0"/>
  </w:num>
  <w:num w:numId="27">
    <w:abstractNumId w:val="23"/>
  </w:num>
  <w:num w:numId="28">
    <w:abstractNumId w:val="5"/>
  </w:num>
  <w:num w:numId="29">
    <w:abstractNumId w:val="1"/>
  </w:num>
  <w:num w:numId="30">
    <w:abstractNumId w:val="10"/>
  </w:num>
  <w:num w:numId="31">
    <w:abstractNumId w:val="2"/>
  </w:num>
  <w:num w:numId="32">
    <w:abstractNumId w:val="12"/>
  </w:num>
  <w:num w:numId="33">
    <w:abstractNumId w:val="32"/>
  </w:num>
  <w:num w:numId="34">
    <w:abstractNumId w:val="34"/>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5"/>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53EE8"/>
    <w:rsid w:val="00056FBF"/>
    <w:rsid w:val="00076D94"/>
    <w:rsid w:val="000971C5"/>
    <w:rsid w:val="000A1875"/>
    <w:rsid w:val="001238EC"/>
    <w:rsid w:val="00126E6B"/>
    <w:rsid w:val="00161A12"/>
    <w:rsid w:val="0016277E"/>
    <w:rsid w:val="001A63B7"/>
    <w:rsid w:val="001E5F64"/>
    <w:rsid w:val="001F5F03"/>
    <w:rsid w:val="00201F41"/>
    <w:rsid w:val="002140F8"/>
    <w:rsid w:val="00214EDB"/>
    <w:rsid w:val="00220812"/>
    <w:rsid w:val="002363EE"/>
    <w:rsid w:val="00236D7F"/>
    <w:rsid w:val="00247BA1"/>
    <w:rsid w:val="00256849"/>
    <w:rsid w:val="002572CB"/>
    <w:rsid w:val="00281E40"/>
    <w:rsid w:val="002F6820"/>
    <w:rsid w:val="00341858"/>
    <w:rsid w:val="00352568"/>
    <w:rsid w:val="00357DFF"/>
    <w:rsid w:val="00365F32"/>
    <w:rsid w:val="00380F79"/>
    <w:rsid w:val="003941A3"/>
    <w:rsid w:val="00395D94"/>
    <w:rsid w:val="003B5DC9"/>
    <w:rsid w:val="003D157B"/>
    <w:rsid w:val="003E277A"/>
    <w:rsid w:val="003F2E0F"/>
    <w:rsid w:val="00420A5A"/>
    <w:rsid w:val="004232FB"/>
    <w:rsid w:val="004308FB"/>
    <w:rsid w:val="00430A6C"/>
    <w:rsid w:val="004765BC"/>
    <w:rsid w:val="00506933"/>
    <w:rsid w:val="00511780"/>
    <w:rsid w:val="00542D77"/>
    <w:rsid w:val="005652F7"/>
    <w:rsid w:val="005D30CA"/>
    <w:rsid w:val="005D7801"/>
    <w:rsid w:val="005E6E4E"/>
    <w:rsid w:val="005F5827"/>
    <w:rsid w:val="00603EF0"/>
    <w:rsid w:val="00607F81"/>
    <w:rsid w:val="00661C1F"/>
    <w:rsid w:val="006960B5"/>
    <w:rsid w:val="00697594"/>
    <w:rsid w:val="006E2602"/>
    <w:rsid w:val="006E33E4"/>
    <w:rsid w:val="006F4414"/>
    <w:rsid w:val="00702634"/>
    <w:rsid w:val="007134C2"/>
    <w:rsid w:val="00754642"/>
    <w:rsid w:val="0076036A"/>
    <w:rsid w:val="007664B1"/>
    <w:rsid w:val="00786704"/>
    <w:rsid w:val="00790C44"/>
    <w:rsid w:val="00796EFB"/>
    <w:rsid w:val="007E55F0"/>
    <w:rsid w:val="00815213"/>
    <w:rsid w:val="008522C9"/>
    <w:rsid w:val="00861966"/>
    <w:rsid w:val="008712F7"/>
    <w:rsid w:val="008A23DF"/>
    <w:rsid w:val="008A7CD9"/>
    <w:rsid w:val="008E2CFC"/>
    <w:rsid w:val="008F222D"/>
    <w:rsid w:val="008F6121"/>
    <w:rsid w:val="00914416"/>
    <w:rsid w:val="0094781E"/>
    <w:rsid w:val="00962AA3"/>
    <w:rsid w:val="00973F10"/>
    <w:rsid w:val="00982549"/>
    <w:rsid w:val="00986BB2"/>
    <w:rsid w:val="009B468C"/>
    <w:rsid w:val="009E1967"/>
    <w:rsid w:val="00A0725D"/>
    <w:rsid w:val="00A64463"/>
    <w:rsid w:val="00A738A9"/>
    <w:rsid w:val="00AB1845"/>
    <w:rsid w:val="00AE570F"/>
    <w:rsid w:val="00AF1677"/>
    <w:rsid w:val="00B10BD7"/>
    <w:rsid w:val="00B175BA"/>
    <w:rsid w:val="00B25125"/>
    <w:rsid w:val="00B325CF"/>
    <w:rsid w:val="00B34272"/>
    <w:rsid w:val="00B35CF4"/>
    <w:rsid w:val="00B41008"/>
    <w:rsid w:val="00B54D86"/>
    <w:rsid w:val="00B718A0"/>
    <w:rsid w:val="00BA7A78"/>
    <w:rsid w:val="00BB38D8"/>
    <w:rsid w:val="00BC5FFA"/>
    <w:rsid w:val="00C1193D"/>
    <w:rsid w:val="00C202CA"/>
    <w:rsid w:val="00C734B4"/>
    <w:rsid w:val="00CA2D14"/>
    <w:rsid w:val="00CD7AA0"/>
    <w:rsid w:val="00D0056F"/>
    <w:rsid w:val="00D307B7"/>
    <w:rsid w:val="00D35874"/>
    <w:rsid w:val="00D501B8"/>
    <w:rsid w:val="00D75E2A"/>
    <w:rsid w:val="00D81F31"/>
    <w:rsid w:val="00D851E2"/>
    <w:rsid w:val="00D94F2E"/>
    <w:rsid w:val="00D96940"/>
    <w:rsid w:val="00DD2C14"/>
    <w:rsid w:val="00E01CB8"/>
    <w:rsid w:val="00E02546"/>
    <w:rsid w:val="00E27898"/>
    <w:rsid w:val="00E40E62"/>
    <w:rsid w:val="00E61996"/>
    <w:rsid w:val="00EA5B97"/>
    <w:rsid w:val="00EE2731"/>
    <w:rsid w:val="00EE3196"/>
    <w:rsid w:val="00F24933"/>
    <w:rsid w:val="00FA02E7"/>
    <w:rsid w:val="00FA6356"/>
    <w:rsid w:val="00FD6871"/>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mcdaid\AppData\Local\Temp\notesBCBF1C\www.singlepensionscheme.gov.ie"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irishstatutebook.ie/2012/en/act/pub/0037/index.html" TargetMode="External"/><Relationship Id="rId17" Type="http://schemas.openxmlformats.org/officeDocument/2006/relationships/hyperlink" Target="file:///C:\Users\lxosullivan\AppData\Local\Temp\notesBCBF1C\lxosullivan@legalaidboard.ie" TargetMode="External"/><Relationship Id="rId2" Type="http://schemas.openxmlformats.org/officeDocument/2006/relationships/numbering" Target="numbering.xml"/><Relationship Id="rId16" Type="http://schemas.openxmlformats.org/officeDocument/2006/relationships/hyperlink" Target="http://www.legalaidboard.ie"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jamcdaid\AppData\Local\Temp\notesBCBF1C\www.singlepensionscheme.gov.i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r.gov.ie/pensions" TargetMode="External"/><Relationship Id="rId23" Type="http://schemas.openxmlformats.org/officeDocument/2006/relationships/fontTable" Target="fontTable.xml"/><Relationship Id="rId10" Type="http://schemas.openxmlformats.org/officeDocument/2006/relationships/hyperlink" Target="http://www.legalaidboard.ie/" TargetMode="Externa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cspensions.gov.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95D9-AA0F-477A-8476-FE406173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4021591F</Template>
  <TotalTime>0</TotalTime>
  <Pages>15</Pages>
  <Words>5100</Words>
  <Characters>29073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2</cp:revision>
  <cp:lastPrinted>2021-03-09T14:54:00Z</cp:lastPrinted>
  <dcterms:created xsi:type="dcterms:W3CDTF">2021-04-21T15:40:00Z</dcterms:created>
  <dcterms:modified xsi:type="dcterms:W3CDTF">2021-04-21T15:40:00Z</dcterms:modified>
</cp:coreProperties>
</file>