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24C1A4F6" w:rsidR="00944319" w:rsidRDefault="0094431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Family Mediator </w:t>
                              </w:r>
                            </w:p>
                            <w:p w14:paraId="25B72CB8" w14:textId="16F1453C" w:rsidR="00944319" w:rsidRPr="005E6E4E" w:rsidRDefault="00944319"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r>
                                <w:rPr>
                                  <w:b/>
                                  <w:bCs/>
                                  <w:color w:val="FAAD32"/>
                                  <w:sz w:val="48"/>
                                  <w:szCs w:val="48"/>
                                  <w14:textOutline w14:w="9525" w14:cap="rnd" w14:cmpd="sng" w14:algn="ctr">
                                    <w14:noFill/>
                                    <w14:prstDash w14:val="solid"/>
                                    <w14:bevel/>
                                  </w14:textOutline>
                                </w:rPr>
                                <w:t xml:space="preserve"> for nationwide recruitment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24C1A4F6" w:rsidR="00944319" w:rsidRDefault="0094431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Family Mediator </w:t>
                        </w:r>
                      </w:p>
                      <w:p w14:paraId="25B72CB8" w14:textId="16F1453C" w:rsidR="00944319" w:rsidRPr="005E6E4E" w:rsidRDefault="00944319"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r>
                          <w:rPr>
                            <w:b/>
                            <w:bCs/>
                            <w:color w:val="FAAD32"/>
                            <w:sz w:val="48"/>
                            <w:szCs w:val="48"/>
                            <w14:textOutline w14:w="9525" w14:cap="rnd" w14:cmpd="sng" w14:algn="ctr">
                              <w14:noFill/>
                              <w14:prstDash w14:val="solid"/>
                              <w14:bevel/>
                            </w14:textOutline>
                          </w:rPr>
                          <w:t xml:space="preserve"> for nationwide recruitment competition</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08F9A9AE" w:rsidR="00D0056F" w:rsidRPr="00380F79" w:rsidRDefault="00C5475F" w:rsidP="00D0056F">
            <w:pPr>
              <w:spacing w:before="360" w:after="480"/>
              <w:ind w:left="284" w:right="284"/>
              <w:rPr>
                <w:b/>
                <w:bCs/>
                <w:color w:val="FFFFFF" w:themeColor="background1"/>
                <w:sz w:val="48"/>
                <w:szCs w:val="48"/>
              </w:rPr>
            </w:pPr>
            <w:r>
              <w:rPr>
                <w:b/>
                <w:bCs/>
                <w:color w:val="FFFFFF" w:themeColor="background1"/>
                <w:sz w:val="48"/>
                <w:szCs w:val="48"/>
              </w:rPr>
              <w:lastRenderedPageBreak/>
              <w:t xml:space="preserve">Family </w:t>
            </w:r>
            <w:r w:rsidR="00D0056F">
              <w:rPr>
                <w:b/>
                <w:bCs/>
                <w:color w:val="FFFFFF" w:themeColor="background1"/>
                <w:sz w:val="48"/>
                <w:szCs w:val="48"/>
              </w:rPr>
              <w:t xml:space="preserve">Mediator </w:t>
            </w:r>
          </w:p>
        </w:tc>
      </w:tr>
    </w:tbl>
    <w:p w14:paraId="7A78FF98" w14:textId="77777777" w:rsidR="007533DC" w:rsidRDefault="007533DC" w:rsidP="00395D94">
      <w:pPr>
        <w:pStyle w:val="LABSection"/>
        <w:rPr>
          <w:sz w:val="16"/>
          <w:szCs w:val="16"/>
        </w:rPr>
        <w:sectPr w:rsidR="007533DC" w:rsidSect="00352568">
          <w:footerReference w:type="default" r:id="rId10"/>
          <w:type w:val="continuous"/>
          <w:pgSz w:w="11906" w:h="16838"/>
          <w:pgMar w:top="1440" w:right="1440" w:bottom="1440" w:left="1440" w:header="709" w:footer="709" w:gutter="0"/>
          <w:cols w:num="2" w:space="709"/>
          <w:docGrid w:linePitch="360"/>
        </w:sectPr>
      </w:pPr>
    </w:p>
    <w:p w14:paraId="105B7CA8" w14:textId="53E10491"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77777777" w:rsidR="002363EE" w:rsidRPr="00B175BA" w:rsidRDefault="002363EE" w:rsidP="00B175BA">
      <w:pPr>
        <w:pStyle w:val="LABBody10pt"/>
      </w:pPr>
      <w:r w:rsidRPr="00B175BA">
        <w:t>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Bureau Legal Aid Scheme and the Legal Aid Custody Issues Scheme.</w:t>
      </w:r>
    </w:p>
    <w:p w14:paraId="44D34FC7" w14:textId="14F2099B" w:rsidR="002363EE" w:rsidRPr="00B175BA" w:rsidRDefault="002363EE" w:rsidP="00B175BA">
      <w:pPr>
        <w:pStyle w:val="LABBody10pt"/>
      </w:pPr>
      <w:r w:rsidRPr="00B175BA">
        <w:t>The Board's Mission Statement, set out in its Statement of Strategy 2021-2023, is "To deliver timely effective inclusive and just resolution of family and civil disputes to those most in need of our assistance through high quality legal representation and advice and / or mediation and to manage other aspects of legal aid which have been entrusted to us.” The Statement of Strategy sets out a number of steps that the Board has adopted in order to achieve the objective set out in its Mission Statement.</w:t>
      </w:r>
      <w:r w:rsidR="000722EA">
        <w:t xml:space="preserve">  </w:t>
      </w:r>
    </w:p>
    <w:p w14:paraId="0BC80A6C" w14:textId="4AB46C49" w:rsidR="004B2AE2" w:rsidRPr="00A56856" w:rsidRDefault="004B2AE2" w:rsidP="004B2AE2">
      <w:pPr>
        <w:pStyle w:val="LABBody10pt"/>
      </w:pPr>
      <w:r>
        <w:t xml:space="preserve">Family mediation services are provided from 16 locations, a number of which are co-located or in the process of being co-located with law centres.   The Board is seeking to establish a </w:t>
      </w:r>
      <w:r w:rsidRPr="00A56856">
        <w:t xml:space="preserve">Panel from which </w:t>
      </w:r>
      <w:r>
        <w:t xml:space="preserve">the Board might offer </w:t>
      </w:r>
      <w:r w:rsidRPr="00A56856">
        <w:t xml:space="preserve">temporary </w:t>
      </w:r>
      <w:r w:rsidR="00275D40">
        <w:t>or</w:t>
      </w:r>
      <w:r w:rsidRPr="00A56856">
        <w:t xml:space="preserve"> permanent positions</w:t>
      </w:r>
      <w:r w:rsidR="004F14CF">
        <w:t>, both part time and full time,</w:t>
      </w:r>
      <w:r w:rsidRPr="00A56856">
        <w:t xml:space="preserve"> at Mediator level</w:t>
      </w:r>
      <w:r w:rsidR="00275D40">
        <w:t>. These vacancies</w:t>
      </w:r>
      <w:r w:rsidRPr="00A56856">
        <w:t xml:space="preserve"> may arise </w:t>
      </w:r>
      <w:r w:rsidR="00275D40">
        <w:t xml:space="preserve">in </w:t>
      </w:r>
      <w:r>
        <w:t xml:space="preserve">the locations indicated in the accompanying application form </w:t>
      </w:r>
      <w:r w:rsidRPr="00A56856">
        <w:t xml:space="preserve">in the 12 months following the Panel’s establishment. </w:t>
      </w:r>
      <w:r w:rsidRPr="004B4C9F">
        <w:t>Human Resources reserve the right to extend the length</w:t>
      </w:r>
      <w:r>
        <w:t xml:space="preserve"> of the panel for an additional 12 months.  </w:t>
      </w:r>
      <w:r w:rsidRPr="00A56856">
        <w:t xml:space="preserve">  </w:t>
      </w:r>
    </w:p>
    <w:p w14:paraId="3A4FE36A" w14:textId="4CBE9F6D" w:rsidR="000722EA" w:rsidRPr="00B175BA" w:rsidRDefault="004B2AE2" w:rsidP="000722EA">
      <w:pPr>
        <w:pStyle w:val="LABBody10pt"/>
      </w:pPr>
      <w:r>
        <w:t>In addition to family mediation offices t</w:t>
      </w:r>
      <w:r w:rsidR="000722EA" w:rsidRPr="00B175BA">
        <w:t>he Board has thirty three full time law centres located throughout the country, as well as a Private Practitioner Service, a Refugee Documentation Centre and a library service</w:t>
      </w:r>
      <w:r w:rsidR="000722EA">
        <w:t>.</w:t>
      </w:r>
      <w:r w:rsidR="000722EA" w:rsidRPr="00B175BA">
        <w:t xml:space="preserve"> </w:t>
      </w:r>
    </w:p>
    <w:p w14:paraId="79A853D1" w14:textId="77777777" w:rsidR="002363EE" w:rsidRPr="00B175BA" w:rsidRDefault="002363EE" w:rsidP="00B175BA">
      <w:pPr>
        <w:pStyle w:val="LABBody10pt"/>
      </w:pPr>
      <w:r w:rsidRPr="00B175BA">
        <w:t>The Board itself consists of a chairperson and twelve ordinary members. They are appointed by the Minister for Justice and have a five-year term of office.</w:t>
      </w:r>
    </w:p>
    <w:p w14:paraId="49A4778E" w14:textId="1D27914E" w:rsidR="002363EE" w:rsidRPr="00B175BA" w:rsidRDefault="002363EE" w:rsidP="00B175BA">
      <w:pPr>
        <w:pStyle w:val="LABBody10pt"/>
      </w:pPr>
      <w:r w:rsidRPr="00B175BA">
        <w:t xml:space="preserve">The Board has an executive management structure primarily located at its Head Office at Quay St, Cahirciveen, Co Kerry and also at an office at 48/49 North Brunswick St, George’s Lane, Smithfield, Dublin 7. </w:t>
      </w:r>
    </w:p>
    <w:p w14:paraId="3E82A0C5" w14:textId="69FEC3F2" w:rsidR="002363EE" w:rsidRPr="00B175BA" w:rsidRDefault="002363EE" w:rsidP="00B175BA">
      <w:pPr>
        <w:pStyle w:val="LABBody10pt"/>
      </w:pPr>
      <w:r w:rsidRPr="00B175BA">
        <w:t>More details about the Legal Aid Board</w:t>
      </w:r>
      <w:r w:rsidR="004B2AE2">
        <w:t xml:space="preserve"> </w:t>
      </w:r>
      <w:r w:rsidRPr="00B175BA">
        <w:t xml:space="preserve">can be obtained by accessing the Board’s website </w:t>
      </w:r>
      <w:hyperlink r:id="rId11"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36A84A45" w14:textId="2802E508" w:rsidR="002363EE" w:rsidRDefault="002363EE" w:rsidP="00B175BA">
      <w:pPr>
        <w:pStyle w:val="Smallheadingorange"/>
      </w:pPr>
      <w:r w:rsidRPr="002363EE">
        <w:t>The key features of the role are to:</w:t>
      </w:r>
    </w:p>
    <w:p w14:paraId="4678CC6A" w14:textId="2C5A596F" w:rsidR="00D0056F" w:rsidRPr="00D0056F" w:rsidRDefault="00C5475F" w:rsidP="000A1875">
      <w:pPr>
        <w:pStyle w:val="LABBullets"/>
      </w:pPr>
      <w:r>
        <w:t>Provide</w:t>
      </w:r>
      <w:r w:rsidR="00D0056F" w:rsidRPr="00745421">
        <w:t xml:space="preserve"> a quality mediation service to clients</w:t>
      </w:r>
      <w:r w:rsidR="000A1875">
        <w:t xml:space="preserve">, in a timely and professional </w:t>
      </w:r>
      <w:r w:rsidR="00D0056F" w:rsidRPr="00D0056F">
        <w:t>manner;</w:t>
      </w:r>
    </w:p>
    <w:p w14:paraId="2346EA2F" w14:textId="61694015" w:rsidR="00D0056F" w:rsidRPr="00CD5716" w:rsidRDefault="00C5475F" w:rsidP="00D0056F">
      <w:pPr>
        <w:pStyle w:val="LABBullets"/>
      </w:pPr>
      <w:r>
        <w:t>Participate</w:t>
      </w:r>
      <w:r w:rsidR="00D0056F" w:rsidRPr="00745421">
        <w:t xml:space="preserve"> in regular mediation practice supervision with their Regional Manager;</w:t>
      </w:r>
    </w:p>
    <w:p w14:paraId="7292C139" w14:textId="097C52E1" w:rsidR="00D0056F" w:rsidRPr="00D0056F" w:rsidRDefault="00C5475F" w:rsidP="00D0056F">
      <w:pPr>
        <w:pStyle w:val="LABBullets"/>
      </w:pPr>
      <w:r>
        <w:t>Submit</w:t>
      </w:r>
      <w:r w:rsidR="00D0056F" w:rsidRPr="00D0056F">
        <w:t xml:space="preserve"> progress reports on cases on a regular basis to their Regional Manager and co-operating with that Manager in the management of the mediator’s performance and the on</w:t>
      </w:r>
      <w:r w:rsidR="00352568">
        <w:t>-</w:t>
      </w:r>
      <w:r w:rsidR="00D0056F" w:rsidRPr="00D0056F">
        <w:t>going monitoring of case files;</w:t>
      </w:r>
    </w:p>
    <w:p w14:paraId="030B91BC" w14:textId="7553A8A7" w:rsidR="00D0056F" w:rsidRPr="00D0056F" w:rsidRDefault="00C5475F" w:rsidP="00D0056F">
      <w:pPr>
        <w:pStyle w:val="LABBullets"/>
      </w:pPr>
      <w:r>
        <w:t>Provide</w:t>
      </w:r>
      <w:r w:rsidR="00D0056F" w:rsidRPr="00D0056F">
        <w:t xml:space="preserve"> Head Office with accurate and timely returns of monthly case work;</w:t>
      </w:r>
    </w:p>
    <w:p w14:paraId="6DE28DAB" w14:textId="072E8CE5" w:rsidR="00D0056F" w:rsidRPr="00D0056F" w:rsidRDefault="00C5475F" w:rsidP="00D0056F">
      <w:pPr>
        <w:pStyle w:val="LABBullets"/>
      </w:pPr>
      <w:r>
        <w:t>Comply</w:t>
      </w:r>
      <w:r w:rsidR="00D0056F" w:rsidRPr="00D0056F">
        <w:t xml:space="preserve"> with any procedures concerning risk management/ performance review for mediators in the Board;</w:t>
      </w:r>
    </w:p>
    <w:p w14:paraId="2761D80E" w14:textId="0C75F248" w:rsidR="00D0056F" w:rsidRPr="00D0056F" w:rsidRDefault="00C5475F" w:rsidP="00D0056F">
      <w:pPr>
        <w:pStyle w:val="LABBullets"/>
      </w:pPr>
      <w:r>
        <w:t>Engage</w:t>
      </w:r>
      <w:r w:rsidR="00D0056F" w:rsidRPr="00D0056F">
        <w:t xml:space="preserve"> with and use of the Board’s ICT systems;</w:t>
      </w:r>
    </w:p>
    <w:p w14:paraId="5DDD5887" w14:textId="6432D287" w:rsidR="00D0056F" w:rsidRPr="00D0056F" w:rsidRDefault="00C5475F" w:rsidP="00D0056F">
      <w:pPr>
        <w:pStyle w:val="LABBullets"/>
      </w:pPr>
      <w:r>
        <w:t>Adhere</w:t>
      </w:r>
      <w:r w:rsidR="00D0056F" w:rsidRPr="00D0056F">
        <w:t xml:space="preserve"> to the Board’s guidelines</w:t>
      </w:r>
      <w:r w:rsidR="000A1875" w:rsidRPr="00D0056F">
        <w:t>, procedures</w:t>
      </w:r>
      <w:r w:rsidR="00D0056F" w:rsidRPr="00D0056F">
        <w:t xml:space="preserve"> and policies for the delivery of quality mediation services.</w:t>
      </w:r>
    </w:p>
    <w:p w14:paraId="345A9654" w14:textId="110641D9" w:rsidR="002363EE" w:rsidRDefault="002363EE" w:rsidP="00B175BA">
      <w:pPr>
        <w:pStyle w:val="Smallheadingorange"/>
      </w:pPr>
      <w:r w:rsidRPr="000532E7">
        <w:t>Essential Entry Requirements:</w:t>
      </w:r>
    </w:p>
    <w:p w14:paraId="120EA151" w14:textId="77777777" w:rsidR="007533DC" w:rsidRDefault="00D0056F" w:rsidP="007533DC">
      <w:pPr>
        <w:pStyle w:val="LABBullets"/>
      </w:pPr>
      <w:r w:rsidRPr="00A56856">
        <w:t xml:space="preserve">Advanced Member of the </w:t>
      </w:r>
      <w:r w:rsidR="000A1875">
        <w:t xml:space="preserve">Mediator’s Institute of Ireland; </w:t>
      </w:r>
    </w:p>
    <w:p w14:paraId="4C891FF1" w14:textId="564F4B5C" w:rsidR="00D0056F" w:rsidRDefault="000A1875" w:rsidP="00944319">
      <w:pPr>
        <w:pStyle w:val="LABBullets"/>
        <w:numPr>
          <w:ilvl w:val="0"/>
          <w:numId w:val="0"/>
        </w:numPr>
        <w:ind w:left="284"/>
      </w:pPr>
      <w:r>
        <w:t>OR</w:t>
      </w:r>
    </w:p>
    <w:p w14:paraId="356C67D8" w14:textId="6EC825EE" w:rsidR="00D0056F" w:rsidRPr="000A1875" w:rsidRDefault="00D0056F" w:rsidP="007533DC">
      <w:pPr>
        <w:pStyle w:val="LABBullets"/>
      </w:pPr>
      <w:r w:rsidRPr="000A1875">
        <w:t>Hold an equivalent qu</w:t>
      </w:r>
      <w:r w:rsidR="009A2874">
        <w:t>alification in Family Mediation that includes</w:t>
      </w:r>
    </w:p>
    <w:p w14:paraId="4A6EA722" w14:textId="77777777" w:rsidR="007533DC" w:rsidRDefault="007533DC" w:rsidP="00944319">
      <w:pPr>
        <w:pStyle w:val="LABBullets"/>
        <w:numPr>
          <w:ilvl w:val="0"/>
          <w:numId w:val="0"/>
        </w:numPr>
      </w:pPr>
    </w:p>
    <w:p w14:paraId="19AB5553" w14:textId="718FC839" w:rsidR="00D0056F" w:rsidRPr="000A1875" w:rsidRDefault="00D0056F" w:rsidP="00944319">
      <w:pPr>
        <w:pStyle w:val="LABBullets"/>
        <w:numPr>
          <w:ilvl w:val="0"/>
          <w:numId w:val="0"/>
        </w:numPr>
      </w:pPr>
      <w:r w:rsidRPr="00A56856">
        <w:t>Family Mediatio</w:t>
      </w:r>
      <w:r w:rsidR="000A1875">
        <w:t>n (separating couples) Training</w:t>
      </w:r>
      <w:r w:rsidR="00352568">
        <w:t>:</w:t>
      </w:r>
    </w:p>
    <w:p w14:paraId="5CF51A22" w14:textId="77777777" w:rsidR="00D0056F" w:rsidRPr="000A1875" w:rsidRDefault="00D0056F" w:rsidP="00944319">
      <w:pPr>
        <w:pStyle w:val="LABBullets"/>
      </w:pPr>
      <w:r w:rsidRPr="000A1875">
        <w:t>32 hours substantive knowledge in family mediation (separating couples);</w:t>
      </w:r>
    </w:p>
    <w:p w14:paraId="41F8610B" w14:textId="77777777" w:rsidR="00D0056F" w:rsidRPr="000A1875" w:rsidRDefault="00D0056F" w:rsidP="00944319">
      <w:pPr>
        <w:pStyle w:val="LABBullets"/>
      </w:pPr>
      <w:r w:rsidRPr="000A1875">
        <w:t>15 hours co-mediation in family mediation (separating couples);</w:t>
      </w:r>
    </w:p>
    <w:p w14:paraId="70AFC2E7" w14:textId="0517661D" w:rsidR="00D0056F" w:rsidRPr="000A1875" w:rsidRDefault="00D0056F" w:rsidP="00944319">
      <w:pPr>
        <w:pStyle w:val="LABBullets"/>
      </w:pPr>
      <w:r w:rsidRPr="000A1875">
        <w:t>A minimum of 100 hours face to face family mediation (separating couples) work with clients signed off by a qualified family mediation supervisor</w:t>
      </w:r>
      <w:r w:rsidR="00352568">
        <w:t>.</w:t>
      </w:r>
      <w:r w:rsidRPr="000A1875">
        <w:t xml:space="preserve"> </w:t>
      </w:r>
    </w:p>
    <w:p w14:paraId="737AADE2" w14:textId="77777777" w:rsidR="00D0056F" w:rsidRDefault="00D0056F" w:rsidP="00944319">
      <w:pPr>
        <w:pStyle w:val="LABBullets"/>
        <w:numPr>
          <w:ilvl w:val="0"/>
          <w:numId w:val="0"/>
        </w:numPr>
        <w:ind w:left="284"/>
        <w:rPr>
          <w:b/>
          <w:color w:val="000000"/>
        </w:rPr>
      </w:pPr>
    </w:p>
    <w:p w14:paraId="6D85644A" w14:textId="10B19C7F" w:rsidR="00D0056F" w:rsidRPr="000A1875" w:rsidRDefault="00D0056F" w:rsidP="00944319">
      <w:pPr>
        <w:pStyle w:val="LABBullets"/>
        <w:numPr>
          <w:ilvl w:val="0"/>
          <w:numId w:val="0"/>
        </w:numPr>
        <w:ind w:left="284" w:hanging="284"/>
      </w:pPr>
      <w:r w:rsidRPr="00A56856">
        <w:t xml:space="preserve">Family </w:t>
      </w:r>
      <w:r>
        <w:t>m</w:t>
      </w:r>
      <w:r w:rsidRPr="00A56856">
        <w:t xml:space="preserve">ediation </w:t>
      </w:r>
      <w:r w:rsidR="000722EA">
        <w:t>e</w:t>
      </w:r>
      <w:r w:rsidRPr="00A56856">
        <w:t xml:space="preserve">xperience </w:t>
      </w:r>
      <w:r w:rsidR="000722EA">
        <w:t>r</w:t>
      </w:r>
      <w:r w:rsidRPr="00A56856">
        <w:t>equired:</w:t>
      </w:r>
    </w:p>
    <w:p w14:paraId="698733B1" w14:textId="77777777" w:rsidR="000A1875" w:rsidRDefault="00D0056F" w:rsidP="00944319">
      <w:pPr>
        <w:pStyle w:val="LABBullets"/>
      </w:pPr>
      <w:r w:rsidRPr="000A1875">
        <w:t>1 year post-qualification practice in family mediation (separating couples) – a minimum of 100 hours per year, signed off by a qualified family med</w:t>
      </w:r>
      <w:r w:rsidR="000A1875" w:rsidRPr="000A1875">
        <w:t>iation supervisor</w:t>
      </w:r>
      <w:r w:rsidR="000A1875">
        <w:t xml:space="preserve">. </w:t>
      </w:r>
    </w:p>
    <w:p w14:paraId="65C87F1A" w14:textId="77777777" w:rsidR="00EE2CCA" w:rsidRDefault="00EE2CCA" w:rsidP="00944319">
      <w:pPr>
        <w:pStyle w:val="LABBullets"/>
        <w:numPr>
          <w:ilvl w:val="0"/>
          <w:numId w:val="0"/>
        </w:numPr>
        <w:ind w:left="284"/>
      </w:pPr>
    </w:p>
    <w:p w14:paraId="7E103B20" w14:textId="77777777" w:rsidR="007533DC" w:rsidRDefault="007533DC" w:rsidP="00944319">
      <w:pPr>
        <w:pStyle w:val="LABBullets"/>
        <w:numPr>
          <w:ilvl w:val="0"/>
          <w:numId w:val="0"/>
        </w:numPr>
        <w:ind w:left="284"/>
        <w:sectPr w:rsidR="007533DC" w:rsidSect="004F14CF">
          <w:type w:val="continuous"/>
          <w:pgSz w:w="11906" w:h="16838"/>
          <w:pgMar w:top="1440" w:right="1440" w:bottom="1440" w:left="1440" w:header="709" w:footer="709" w:gutter="0"/>
          <w:cols w:space="709"/>
          <w:docGrid w:linePitch="360"/>
        </w:sectPr>
      </w:pPr>
    </w:p>
    <w:p w14:paraId="3B0AE555" w14:textId="77777777" w:rsidR="007533DC" w:rsidRPr="00275D40" w:rsidRDefault="000A1875" w:rsidP="00275D40">
      <w:pPr>
        <w:pStyle w:val="LABBody10pt"/>
      </w:pPr>
      <w:r w:rsidRPr="00275D40">
        <w:t>It will be a matter for the Legal Aid Board to determine the eligibility of candidates having regard to</w:t>
      </w:r>
    </w:p>
    <w:p w14:paraId="02AFA000" w14:textId="601678C6" w:rsidR="007533DC" w:rsidRPr="00275D40" w:rsidRDefault="000A1875" w:rsidP="00275D40">
      <w:pPr>
        <w:pStyle w:val="LABBody10pt"/>
      </w:pPr>
      <w:r w:rsidRPr="00275D40">
        <w:t>their qualifications and experience. Candidates for appointment must have the minimum level of</w:t>
      </w:r>
    </w:p>
    <w:p w14:paraId="76E27A86" w14:textId="59241E5E" w:rsidR="007533DC" w:rsidRPr="00275D40" w:rsidRDefault="000A1875" w:rsidP="00275D40">
      <w:pPr>
        <w:pStyle w:val="LABBody10pt"/>
      </w:pPr>
      <w:r w:rsidRPr="00275D40">
        <w:t>family mediation experience</w:t>
      </w:r>
      <w:r w:rsidR="000722EA" w:rsidRPr="00275D40">
        <w:t xml:space="preserve"> above</w:t>
      </w:r>
      <w:r w:rsidRPr="00275D40">
        <w:t>.  Experience undertaken as part of the aforementioned training will</w:t>
      </w:r>
    </w:p>
    <w:p w14:paraId="572CADEF" w14:textId="77777777" w:rsidR="00275D40" w:rsidRDefault="000A1875" w:rsidP="00275D40">
      <w:pPr>
        <w:pStyle w:val="LABBody10pt"/>
      </w:pPr>
      <w:r w:rsidRPr="00275D40">
        <w:t>count towards the final quota.</w:t>
      </w:r>
      <w:r w:rsidR="00D81F31" w:rsidRPr="00275D40">
        <w:t xml:space="preserve"> </w:t>
      </w:r>
      <w:r w:rsidR="00D0056F" w:rsidRPr="00275D40">
        <w:t>The onus will be on the candidate to provide evidence that these</w:t>
      </w:r>
      <w:r w:rsidR="00275D40" w:rsidRPr="00275D40">
        <w:t xml:space="preserve"> </w:t>
      </w:r>
    </w:p>
    <w:p w14:paraId="3E222CFF" w14:textId="68199DF6" w:rsidR="00D0056F" w:rsidRPr="00275D40" w:rsidRDefault="00275D40" w:rsidP="00275D40">
      <w:pPr>
        <w:pStyle w:val="LABBody10pt"/>
      </w:pPr>
      <w:r w:rsidRPr="00275D40">
        <w:t>criteria</w:t>
      </w:r>
      <w:r w:rsidR="00D0056F" w:rsidRPr="00275D40">
        <w:t xml:space="preserve"> are met prior to interview.</w:t>
      </w:r>
    </w:p>
    <w:p w14:paraId="11D31497" w14:textId="77777777" w:rsidR="007533DC" w:rsidRDefault="007533DC" w:rsidP="00944319">
      <w:pPr>
        <w:pStyle w:val="LABBullets"/>
        <w:rPr>
          <w:color w:val="000000"/>
        </w:rPr>
        <w:sectPr w:rsidR="007533DC" w:rsidSect="004F14CF">
          <w:type w:val="continuous"/>
          <w:pgSz w:w="11906" w:h="16838"/>
          <w:pgMar w:top="1440" w:right="1440" w:bottom="1440" w:left="1440" w:header="709" w:footer="709" w:gutter="0"/>
          <w:cols w:space="709"/>
          <w:docGrid w:linePitch="360"/>
        </w:sectPr>
      </w:pPr>
    </w:p>
    <w:p w14:paraId="484D6ECE" w14:textId="4FB94684" w:rsidR="00815213" w:rsidRPr="000722EA" w:rsidRDefault="00815213" w:rsidP="00D0056F">
      <w:pPr>
        <w:autoSpaceDE w:val="0"/>
        <w:autoSpaceDN w:val="0"/>
        <w:adjustRightInd w:val="0"/>
        <w:rPr>
          <w:rFonts w:cs="Arial"/>
          <w:color w:val="000000"/>
        </w:rPr>
      </w:pPr>
    </w:p>
    <w:p w14:paraId="5DA0AEF9" w14:textId="77777777" w:rsidR="00815213" w:rsidRDefault="00815213" w:rsidP="00D0056F">
      <w:pPr>
        <w:autoSpaceDE w:val="0"/>
        <w:autoSpaceDN w:val="0"/>
        <w:adjustRightInd w:val="0"/>
        <w:rPr>
          <w:rFonts w:cs="Arial"/>
          <w:color w:val="000000"/>
        </w:rPr>
      </w:pPr>
    </w:p>
    <w:p w14:paraId="78657400" w14:textId="77777777" w:rsidR="00815213" w:rsidRDefault="00815213" w:rsidP="00D0056F">
      <w:pPr>
        <w:autoSpaceDE w:val="0"/>
        <w:autoSpaceDN w:val="0"/>
        <w:adjustRightInd w:val="0"/>
        <w:rPr>
          <w:rFonts w:cs="Arial"/>
          <w:color w:val="000000"/>
        </w:rPr>
      </w:pPr>
    </w:p>
    <w:p w14:paraId="67201344" w14:textId="77777777" w:rsidR="00815213" w:rsidRDefault="00815213" w:rsidP="00D0056F">
      <w:pPr>
        <w:autoSpaceDE w:val="0"/>
        <w:autoSpaceDN w:val="0"/>
        <w:adjustRightInd w:val="0"/>
        <w:rPr>
          <w:rFonts w:cs="Arial"/>
          <w:color w:val="000000"/>
        </w:rPr>
      </w:pPr>
    </w:p>
    <w:p w14:paraId="54900DDD" w14:textId="77777777" w:rsidR="00815213" w:rsidRDefault="00815213" w:rsidP="00D0056F">
      <w:pPr>
        <w:autoSpaceDE w:val="0"/>
        <w:autoSpaceDN w:val="0"/>
        <w:adjustRightInd w:val="0"/>
        <w:rPr>
          <w:rFonts w:cs="Arial"/>
          <w:color w:val="000000"/>
        </w:rPr>
      </w:pPr>
    </w:p>
    <w:p w14:paraId="4BE16B81" w14:textId="77777777" w:rsidR="00D81F31" w:rsidRDefault="00D81F31"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36867F95" w14:textId="0EF7CCD5" w:rsidR="002363EE" w:rsidRPr="002363EE" w:rsidRDefault="002363EE" w:rsidP="00B175BA">
      <w:pPr>
        <w:pStyle w:val="LABSection"/>
      </w:pPr>
      <w:r w:rsidRPr="002363EE">
        <w:t>Competencies</w:t>
      </w:r>
    </w:p>
    <w:p w14:paraId="54E62D04" w14:textId="4170E277" w:rsidR="00D0056F" w:rsidRPr="00352568" w:rsidRDefault="002363EE" w:rsidP="00395D94">
      <w:pPr>
        <w:pStyle w:val="LABBody10pt"/>
        <w:rPr>
          <w:bCs/>
        </w:rPr>
      </w:pPr>
      <w:r w:rsidRPr="00352568">
        <w:rPr>
          <w:bCs/>
        </w:rPr>
        <w:t>The attention of candidates is drawn to the following key competencies that have been developed for the role by the Legal Aid Board:</w:t>
      </w:r>
    </w:p>
    <w:p w14:paraId="165039F0" w14:textId="55F71A92" w:rsidR="002363EE" w:rsidRPr="00B175BA" w:rsidRDefault="00D0056F" w:rsidP="00B175BA">
      <w:pPr>
        <w:pStyle w:val="Smallheadingorange"/>
      </w:pPr>
      <w:r>
        <w:t>Professional mediation expertise and knowledge</w:t>
      </w:r>
    </w:p>
    <w:p w14:paraId="18759B93" w14:textId="0710C5AC" w:rsidR="00D0056F" w:rsidRPr="00D0056F" w:rsidRDefault="00D0056F" w:rsidP="00D0056F">
      <w:pPr>
        <w:pStyle w:val="LABBullets"/>
        <w:rPr>
          <w:lang w:eastAsia="en-US"/>
        </w:rPr>
      </w:pPr>
      <w:r w:rsidRPr="00D0056F">
        <w:rPr>
          <w:lang w:eastAsia="en-US"/>
        </w:rPr>
        <w:t>Capacity to apply mediation tra</w:t>
      </w:r>
      <w:r w:rsidR="00815213">
        <w:rPr>
          <w:lang w:eastAsia="en-US"/>
        </w:rPr>
        <w:t>ining and knowledge effectively</w:t>
      </w:r>
    </w:p>
    <w:p w14:paraId="1ECB64B0" w14:textId="297BFBFA" w:rsidR="002363EE" w:rsidRDefault="00D0056F" w:rsidP="00D0056F">
      <w:pPr>
        <w:pStyle w:val="LABBullets"/>
        <w:rPr>
          <w:lang w:eastAsia="en-US"/>
        </w:rPr>
      </w:pPr>
      <w:r w:rsidRPr="00D0056F">
        <w:rPr>
          <w:lang w:eastAsia="en-US"/>
        </w:rPr>
        <w:t>Understanding of family mediation process and role of mediator in dispute resolution</w:t>
      </w:r>
    </w:p>
    <w:p w14:paraId="3457D39F" w14:textId="11F01E2B" w:rsidR="00815213" w:rsidRDefault="00815213" w:rsidP="00815213">
      <w:pPr>
        <w:pStyle w:val="LABBullets"/>
      </w:pPr>
      <w:r>
        <w:t>P</w:t>
      </w:r>
      <w:r w:rsidRPr="00D0056F">
        <w:t>roven ability to provide exce</w:t>
      </w:r>
      <w:r>
        <w:t>llent family mediation service</w:t>
      </w:r>
    </w:p>
    <w:p w14:paraId="13AC60B8" w14:textId="25545F6F" w:rsidR="002363EE" w:rsidRPr="002363EE" w:rsidRDefault="00861966" w:rsidP="00B175BA">
      <w:pPr>
        <w:pStyle w:val="Smallheadingorange"/>
      </w:pPr>
      <w:r>
        <w:t>Managing conflict and facilitating negotiation</w:t>
      </w:r>
    </w:p>
    <w:p w14:paraId="6FE83FC9" w14:textId="453FE4F7" w:rsidR="00861966" w:rsidRPr="00745421" w:rsidRDefault="00861966" w:rsidP="00861966">
      <w:pPr>
        <w:pStyle w:val="LABBullets"/>
      </w:pPr>
      <w:r w:rsidRPr="00745421">
        <w:t>Identifying source(s) of conflict</w:t>
      </w:r>
    </w:p>
    <w:p w14:paraId="1B503AB0" w14:textId="3F3FB192" w:rsidR="00861966" w:rsidRDefault="00861966" w:rsidP="00861966">
      <w:pPr>
        <w:pStyle w:val="LABBullets"/>
        <w:rPr>
          <w:lang w:eastAsia="en-US"/>
        </w:rPr>
      </w:pPr>
      <w:r w:rsidRPr="00745421">
        <w:t>Applying negotiation techniques appropriate to the circumstances presented</w:t>
      </w:r>
    </w:p>
    <w:p w14:paraId="680E0938" w14:textId="170224E0" w:rsidR="00815213" w:rsidRPr="00022140" w:rsidRDefault="00815213" w:rsidP="00815213">
      <w:pPr>
        <w:pStyle w:val="LABBullets"/>
      </w:pPr>
      <w:r w:rsidRPr="00D0056F">
        <w:t>D</w:t>
      </w:r>
      <w:r>
        <w:t>e</w:t>
      </w:r>
      <w:r w:rsidRPr="00D0056F">
        <w:t>monstrated sound judgement, decisiveness, innovation and problem solving ability when dealing wi</w:t>
      </w:r>
      <w:r>
        <w:t>th mediation related solutions</w:t>
      </w:r>
    </w:p>
    <w:p w14:paraId="2DF546A2" w14:textId="747DCA07" w:rsidR="002363EE" w:rsidRPr="00B175BA" w:rsidRDefault="00861966" w:rsidP="00B175BA">
      <w:pPr>
        <w:pStyle w:val="Smallheadingorange"/>
      </w:pPr>
      <w:r>
        <w:t>Using technology effectively for service delivery</w:t>
      </w:r>
    </w:p>
    <w:p w14:paraId="6C38F6AF" w14:textId="148B42D4" w:rsidR="00861966" w:rsidRPr="00745421" w:rsidRDefault="00861966" w:rsidP="00861966">
      <w:pPr>
        <w:pStyle w:val="LABBullets"/>
        <w:rPr>
          <w:color w:val="000000"/>
        </w:rPr>
      </w:pPr>
      <w:r w:rsidRPr="00745421">
        <w:rPr>
          <w:color w:val="000000"/>
        </w:rPr>
        <w:t>Capacity to use appropriate databases</w:t>
      </w:r>
      <w:r w:rsidR="00D81F31">
        <w:rPr>
          <w:color w:val="000000"/>
        </w:rPr>
        <w:t xml:space="preserve"> and platforms </w:t>
      </w:r>
    </w:p>
    <w:p w14:paraId="35A36ED9" w14:textId="5ADDC281" w:rsidR="002363EE" w:rsidRPr="00861966" w:rsidRDefault="00861966" w:rsidP="00861966">
      <w:pPr>
        <w:pStyle w:val="LABBullets"/>
        <w:rPr>
          <w:lang w:eastAsia="en-US"/>
        </w:rPr>
      </w:pPr>
      <w:r w:rsidRPr="00745421">
        <w:rPr>
          <w:color w:val="000000"/>
        </w:rPr>
        <w:t>Application of IT skills</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7A7086AA" w14:textId="0C6D5C66" w:rsidR="00D94F2E" w:rsidRDefault="00815213" w:rsidP="00815213">
      <w:pPr>
        <w:pStyle w:val="LABBullets"/>
      </w:pPr>
      <w:r>
        <w:t>E</w:t>
      </w:r>
      <w:r w:rsidRPr="00D0056F">
        <w:t>xcellent interpersonal and team working skills</w:t>
      </w:r>
    </w:p>
    <w:p w14:paraId="73E3A1D4" w14:textId="5A273F9E" w:rsidR="00815213" w:rsidRPr="00D0056F" w:rsidRDefault="00D94F2E" w:rsidP="00815213">
      <w:pPr>
        <w:pStyle w:val="LABBullets"/>
      </w:pPr>
      <w:r>
        <w:t>A</w:t>
      </w:r>
      <w:r w:rsidR="00815213">
        <w:t>bility to communicate effectiv</w:t>
      </w:r>
      <w:r w:rsidR="00815213" w:rsidRPr="00D0056F">
        <w:t>ely</w:t>
      </w:r>
      <w:r w:rsidR="00815213">
        <w:t xml:space="preserve"> with a wide variety of people</w:t>
      </w:r>
    </w:p>
    <w:p w14:paraId="3D7EC05D" w14:textId="322BFF81" w:rsidR="00815213" w:rsidRPr="00D0056F" w:rsidRDefault="00815213" w:rsidP="00815213">
      <w:pPr>
        <w:pStyle w:val="LABBullets"/>
      </w:pPr>
      <w:r>
        <w:t>A</w:t>
      </w:r>
      <w:r w:rsidRPr="00D0056F">
        <w:t>bility to work in a demandi</w:t>
      </w:r>
      <w:r>
        <w:t>ng and pressurised environment</w:t>
      </w:r>
    </w:p>
    <w:p w14:paraId="6FBEC34E" w14:textId="5CB1811D" w:rsidR="00861966" w:rsidRDefault="00861966" w:rsidP="00861966">
      <w:pPr>
        <w:pStyle w:val="LABBullets"/>
        <w:rPr>
          <w:color w:val="000000"/>
        </w:rPr>
      </w:pPr>
      <w:r w:rsidRPr="00745421">
        <w:rPr>
          <w:color w:val="000000"/>
        </w:rPr>
        <w:t>Managing mediator/client relationship in a public service environment</w:t>
      </w:r>
    </w:p>
    <w:p w14:paraId="606309DC" w14:textId="2E4F3CAE" w:rsidR="00D94F2E" w:rsidRPr="00D94F2E" w:rsidRDefault="00D94F2E" w:rsidP="00D94F2E">
      <w:pPr>
        <w:pStyle w:val="LABBullets"/>
        <w:rPr>
          <w:color w:val="000000"/>
        </w:rPr>
      </w:pPr>
      <w:r>
        <w:rPr>
          <w:color w:val="000000"/>
        </w:rPr>
        <w:t>Actively listens to the views of colleagues and others</w:t>
      </w:r>
    </w:p>
    <w:p w14:paraId="59607CEA" w14:textId="0CE90AD3" w:rsidR="00861966" w:rsidRPr="00815213" w:rsidRDefault="00861966" w:rsidP="00815213">
      <w:pPr>
        <w:pStyle w:val="Smallheadingorange"/>
      </w:pPr>
      <w:r>
        <w:t>Personal drive for results</w:t>
      </w:r>
    </w:p>
    <w:p w14:paraId="65A50348" w14:textId="205608C6" w:rsidR="00861966" w:rsidRPr="00745421" w:rsidRDefault="00861966" w:rsidP="00861966">
      <w:pPr>
        <w:pStyle w:val="LABBullets"/>
        <w:rPr>
          <w:color w:val="000000"/>
        </w:rPr>
      </w:pPr>
      <w:r w:rsidRPr="00745421">
        <w:rPr>
          <w:color w:val="000000"/>
        </w:rPr>
        <w:t xml:space="preserve">Results </w:t>
      </w:r>
      <w:r w:rsidR="00352568">
        <w:rPr>
          <w:color w:val="000000"/>
        </w:rPr>
        <w:t>o</w:t>
      </w:r>
      <w:r w:rsidRPr="00745421">
        <w:rPr>
          <w:color w:val="000000"/>
        </w:rPr>
        <w:t xml:space="preserve">rientated </w:t>
      </w:r>
      <w:r w:rsidR="00352568">
        <w:rPr>
          <w:color w:val="000000"/>
        </w:rPr>
        <w:t>a</w:t>
      </w:r>
      <w:r w:rsidRPr="00745421">
        <w:rPr>
          <w:color w:val="000000"/>
        </w:rPr>
        <w:t>pproach</w:t>
      </w:r>
    </w:p>
    <w:p w14:paraId="691307FB" w14:textId="1F9B5113" w:rsidR="00861966" w:rsidRDefault="00861966" w:rsidP="00861966">
      <w:pPr>
        <w:pStyle w:val="LABBullets"/>
        <w:rPr>
          <w:color w:val="000000"/>
        </w:rPr>
      </w:pPr>
      <w:r w:rsidRPr="00745421">
        <w:rPr>
          <w:color w:val="000000"/>
        </w:rPr>
        <w:t xml:space="preserve">Professional </w:t>
      </w:r>
      <w:r w:rsidR="00352568">
        <w:rPr>
          <w:color w:val="000000"/>
        </w:rPr>
        <w:t>i</w:t>
      </w:r>
      <w:r w:rsidRPr="00745421">
        <w:rPr>
          <w:color w:val="000000"/>
        </w:rPr>
        <w:t>ntegrity</w:t>
      </w:r>
    </w:p>
    <w:p w14:paraId="183E2A22" w14:textId="4A5CB31B" w:rsidR="00815213" w:rsidRPr="00815213" w:rsidRDefault="00815213" w:rsidP="00815213">
      <w:pPr>
        <w:pStyle w:val="LABBullets"/>
      </w:pPr>
      <w:r w:rsidRPr="00D0056F">
        <w:t>Ability to work on their own and sh</w:t>
      </w:r>
      <w:r>
        <w:t>ow initiative and flexibility</w:t>
      </w:r>
    </w:p>
    <w:p w14:paraId="2F659EA3" w14:textId="521F6F03" w:rsidR="00815213" w:rsidRPr="00D0056F" w:rsidRDefault="00815213" w:rsidP="00815213">
      <w:pPr>
        <w:pStyle w:val="LABBullets"/>
      </w:pPr>
      <w:r>
        <w:t>A strong results focus</w:t>
      </w:r>
    </w:p>
    <w:p w14:paraId="1F089E75" w14:textId="77777777" w:rsidR="00815213" w:rsidRPr="00A56856" w:rsidRDefault="00815213" w:rsidP="00815213">
      <w:pPr>
        <w:pStyle w:val="ListParagraph"/>
        <w:tabs>
          <w:tab w:val="left" w:pos="1361"/>
        </w:tabs>
        <w:autoSpaceDE w:val="0"/>
        <w:autoSpaceDN w:val="0"/>
        <w:adjustRightInd w:val="0"/>
        <w:spacing w:after="240"/>
        <w:ind w:left="0"/>
        <w:rPr>
          <w:rFonts w:cs="Arial"/>
          <w:b/>
          <w:color w:val="000000"/>
        </w:rPr>
      </w:pPr>
    </w:p>
    <w:p w14:paraId="48D3F152" w14:textId="77777777" w:rsidR="00815213" w:rsidRPr="00861966" w:rsidRDefault="00815213" w:rsidP="00815213">
      <w:pPr>
        <w:pStyle w:val="LABBullets"/>
        <w:numPr>
          <w:ilvl w:val="0"/>
          <w:numId w:val="0"/>
        </w:numPr>
        <w:ind w:left="284" w:hanging="284"/>
        <w:rPr>
          <w:color w:val="000000"/>
        </w:rPr>
      </w:pPr>
    </w:p>
    <w:p w14:paraId="41505905" w14:textId="673ECC1C" w:rsidR="002363EE" w:rsidRPr="000532E7" w:rsidRDefault="002363EE" w:rsidP="00861966">
      <w:pPr>
        <w:pStyle w:val="LABBullets"/>
        <w:numPr>
          <w:ilvl w:val="0"/>
          <w:numId w:val="0"/>
        </w:numPr>
        <w:rPr>
          <w:lang w:eastAsia="en-US"/>
        </w:rPr>
      </w:pPr>
    </w:p>
    <w:p w14:paraId="4273FC98" w14:textId="41DA2CAE" w:rsidR="00815213" w:rsidRDefault="00815213">
      <w:pPr>
        <w:spacing w:after="200" w:line="276" w:lineRule="auto"/>
        <w:rPr>
          <w:rFonts w:cs="Arial"/>
          <w:b/>
          <w:color w:val="000000"/>
          <w:highlight w:val="yellow"/>
        </w:rPr>
      </w:pPr>
      <w:r>
        <w:rPr>
          <w:rFonts w:cs="Arial"/>
          <w:b/>
          <w:color w:val="000000"/>
          <w:highlight w:val="yellow"/>
        </w:rPr>
        <w:br w:type="page"/>
      </w:r>
    </w:p>
    <w:p w14:paraId="2ECE6AAC" w14:textId="5B567D34" w:rsidR="002363EE" w:rsidRPr="00395D94" w:rsidRDefault="00B175BA" w:rsidP="00395D94">
      <w:pPr>
        <w:pStyle w:val="LABSection"/>
      </w:pPr>
      <w:r>
        <w:t>General Matters</w:t>
      </w:r>
    </w:p>
    <w:p w14:paraId="3FDF185C" w14:textId="0320EBF4" w:rsidR="002363EE" w:rsidRPr="000532E7" w:rsidRDefault="002363EE" w:rsidP="00B175BA">
      <w:pPr>
        <w:pStyle w:val="Smallheadingorange"/>
      </w:pPr>
      <w:r w:rsidRPr="000532E7">
        <w:t>Eligibility to compete</w:t>
      </w:r>
      <w:r w:rsidR="00E61996">
        <w:t>:</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6D03104E" w14:textId="4FA57D80" w:rsidR="00962AA3" w:rsidRPr="00D81F31" w:rsidRDefault="00962AA3" w:rsidP="00B175BA">
      <w:pPr>
        <w:pStyle w:val="LABBody10pt"/>
      </w:pPr>
      <w:r w:rsidRPr="00962AA3">
        <w:rPr>
          <w:rFonts w:eastAsia="Calibri"/>
          <w:color w:val="000000"/>
        </w:rPr>
        <w:t>Candidates must, by the date of any job offer, be:</w:t>
      </w:r>
      <w:r w:rsidRPr="00962AA3">
        <w:rPr>
          <w:rFonts w:eastAsia="Calibri"/>
          <w:color w:val="000000"/>
        </w:rPr>
        <w:br/>
      </w:r>
      <w:r w:rsidRPr="00352568">
        <w:rPr>
          <w:rFonts w:eastAsia="Calibri"/>
          <w:bCs/>
          <w:color w:val="000000"/>
        </w:rPr>
        <w:t>(a)</w:t>
      </w:r>
      <w:r w:rsidRPr="00D81F31">
        <w:rPr>
          <w:rFonts w:eastAsia="Calibri"/>
          <w:b/>
          <w:bCs/>
          <w:color w:val="000000"/>
        </w:rPr>
        <w:t xml:space="preserve"> </w:t>
      </w:r>
      <w:r w:rsidRPr="00D81F31">
        <w:rPr>
          <w:rFonts w:eastAsia="Calibri"/>
          <w:color w:val="000000"/>
        </w:rPr>
        <w:t>A citizen of the European Economic Area. The EEA consists of the Member States of the</w:t>
      </w:r>
      <w:r w:rsidRPr="00D81F31">
        <w:rPr>
          <w:rFonts w:eastAsia="Calibri"/>
          <w:color w:val="000000"/>
        </w:rPr>
        <w:br/>
        <w:t xml:space="preserve">European Union, Iceland, Liechtenstein and Norway; </w:t>
      </w:r>
      <w:r w:rsidRPr="00D81F31">
        <w:rPr>
          <w:rFonts w:eastAsia="Calibri"/>
          <w:bCs/>
          <w:color w:val="000000"/>
        </w:rPr>
        <w:t>or</w:t>
      </w:r>
      <w:r w:rsidRPr="00D81F31">
        <w:rPr>
          <w:rFonts w:eastAsia="Calibri"/>
          <w:bCs/>
          <w:color w:val="000000"/>
        </w:rPr>
        <w:br/>
        <w:t xml:space="preserve">(b) </w:t>
      </w:r>
      <w:r w:rsidRPr="00D81F31">
        <w:rPr>
          <w:rFonts w:eastAsia="Calibri"/>
          <w:color w:val="000000"/>
        </w:rPr>
        <w:t>A citizen of Switzerland pursuant to the agreement between the EU and Switzerland on the</w:t>
      </w:r>
      <w:r w:rsidR="00D81F31" w:rsidRPr="00D81F31">
        <w:rPr>
          <w:rFonts w:eastAsia="Calibri"/>
          <w:color w:val="000000"/>
        </w:rPr>
        <w:t xml:space="preserve"> </w:t>
      </w:r>
      <w:r w:rsidRPr="00D81F31">
        <w:rPr>
          <w:rFonts w:eastAsia="Calibri"/>
          <w:color w:val="000000"/>
        </w:rPr>
        <w:t xml:space="preserve">free movement of persons; </w:t>
      </w:r>
      <w:r w:rsidRPr="00D81F31">
        <w:rPr>
          <w:rFonts w:eastAsia="Calibri"/>
          <w:bCs/>
          <w:color w:val="000000"/>
        </w:rPr>
        <w:t>or</w:t>
      </w:r>
      <w:r w:rsidRPr="00D81F31">
        <w:rPr>
          <w:rFonts w:eastAsia="Calibri"/>
          <w:bCs/>
          <w:color w:val="000000"/>
        </w:rPr>
        <w:br/>
        <w:t xml:space="preserve">(c) </w:t>
      </w:r>
      <w:r w:rsidRPr="00D81F31">
        <w:rPr>
          <w:rFonts w:eastAsia="Calibri"/>
          <w:color w:val="000000"/>
        </w:rPr>
        <w:t>A non-EEA citizen who is a spouse or child of an EEA or Swiss citizen and has a stamp 4 visa;</w:t>
      </w:r>
      <w:r w:rsidR="00D81F31" w:rsidRPr="00D81F31">
        <w:rPr>
          <w:rFonts w:eastAsia="Calibri"/>
          <w:color w:val="000000"/>
        </w:rPr>
        <w:t xml:space="preserve"> </w:t>
      </w:r>
      <w:r w:rsidRPr="00D81F31">
        <w:rPr>
          <w:rFonts w:eastAsia="Calibri"/>
          <w:bCs/>
          <w:color w:val="000000"/>
        </w:rPr>
        <w:t>or</w:t>
      </w:r>
      <w:r w:rsidRPr="00D81F31">
        <w:rPr>
          <w:rFonts w:eastAsia="Calibri"/>
          <w:bCs/>
          <w:color w:val="000000"/>
        </w:rPr>
        <w:br/>
        <w:t xml:space="preserve">(d) </w:t>
      </w:r>
      <w:r w:rsidRPr="00D81F31">
        <w:rPr>
          <w:rFonts w:eastAsia="Calibri"/>
          <w:color w:val="000000"/>
        </w:rPr>
        <w:t>A person awarded international protection under the International Protection Act 2015 or any</w:t>
      </w:r>
      <w:r w:rsidR="00D81F31" w:rsidRPr="00D81F31">
        <w:rPr>
          <w:rFonts w:eastAsia="Calibri"/>
          <w:color w:val="000000"/>
        </w:rPr>
        <w:t xml:space="preserve"> </w:t>
      </w:r>
      <w:r w:rsidRPr="00D81F31">
        <w:rPr>
          <w:rFonts w:eastAsia="Calibri"/>
          <w:color w:val="000000"/>
        </w:rPr>
        <w:t>family member entitled to remain in the State as a result of family reunification and has a stamp</w:t>
      </w:r>
      <w:r w:rsidR="00D81F31" w:rsidRPr="00D81F31">
        <w:rPr>
          <w:rFonts w:eastAsia="Calibri"/>
          <w:color w:val="000000"/>
        </w:rPr>
        <w:t xml:space="preserve"> </w:t>
      </w:r>
      <w:r w:rsidRPr="00D81F31">
        <w:rPr>
          <w:rFonts w:eastAsia="Calibri"/>
          <w:color w:val="000000"/>
        </w:rPr>
        <w:t xml:space="preserve">4 visa </w:t>
      </w:r>
      <w:r w:rsidRPr="00D81F31">
        <w:rPr>
          <w:rFonts w:eastAsia="Calibri"/>
          <w:bCs/>
          <w:color w:val="000000"/>
        </w:rPr>
        <w:t>or</w:t>
      </w:r>
      <w:r w:rsidRPr="00D81F31">
        <w:rPr>
          <w:rFonts w:eastAsia="Calibri"/>
          <w:bCs/>
          <w:color w:val="000000"/>
        </w:rPr>
        <w:br/>
        <w:t xml:space="preserve">(e) </w:t>
      </w:r>
      <w:r w:rsidRPr="00D81F31">
        <w:rPr>
          <w:rFonts w:eastAsia="Calibri"/>
          <w:color w:val="000000"/>
        </w:rPr>
        <w:t>A non-EEA citizen who is a parent of a dependent child who is a citizen of, and resident in, an</w:t>
      </w:r>
      <w:r w:rsidR="00D81F31" w:rsidRPr="00D81F31">
        <w:rPr>
          <w:rFonts w:eastAsia="Calibri"/>
          <w:color w:val="000000"/>
        </w:rPr>
        <w:t xml:space="preserve"> </w:t>
      </w:r>
      <w:r w:rsidRPr="00D81F31">
        <w:rPr>
          <w:rFonts w:eastAsia="Calibri"/>
          <w:color w:val="000000"/>
        </w:rPr>
        <w:t>EEA member state or Switzerland and has a stamp 4 visa</w:t>
      </w:r>
      <w:r w:rsidR="00D81F31" w:rsidRPr="00D81F31">
        <w:rPr>
          <w:rFonts w:eastAsia="Calibri"/>
          <w:color w:val="000000"/>
        </w:rPr>
        <w:t>.</w:t>
      </w:r>
    </w:p>
    <w:p w14:paraId="601D1440" w14:textId="77777777" w:rsidR="002363EE" w:rsidRPr="000532E7" w:rsidRDefault="002363EE" w:rsidP="00B175BA">
      <w:pPr>
        <w:pStyle w:val="Smallheadingorange"/>
      </w:pPr>
      <w:r w:rsidRPr="000532E7">
        <w:t>Incentivised Scheme for Early Retirement (ISER</w:t>
      </w:r>
      <w:r w:rsidRPr="000532E7">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77777777" w:rsidR="002363EE" w:rsidRPr="000532E7" w:rsidRDefault="002363EE" w:rsidP="00B175BA">
      <w:pPr>
        <w:pStyle w:val="Smallheadingorange"/>
        <w:rPr>
          <w:iCs/>
        </w:rPr>
      </w:pPr>
      <w:r w:rsidRPr="000532E7">
        <w:t>Department of Health and Children Circular (7/2010):</w:t>
      </w:r>
    </w:p>
    <w:p w14:paraId="31ECFF83" w14:textId="35C725FA" w:rsidR="002363EE" w:rsidRPr="00B175BA" w:rsidRDefault="002363EE" w:rsidP="00944319">
      <w:pPr>
        <w:pStyle w:val="LABBody10pt"/>
      </w:pPr>
      <w:r w:rsidRPr="000532E7">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77777777" w:rsidR="002363EE" w:rsidRPr="000532E7" w:rsidRDefault="002363EE" w:rsidP="00B175BA">
      <w:pPr>
        <w:pStyle w:val="Smallheadingorange"/>
        <w:rPr>
          <w:lang w:val="en-GB"/>
        </w:rPr>
      </w:pPr>
      <w:r w:rsidRPr="00395D94">
        <w:t>Declaration</w:t>
      </w:r>
      <w:r w:rsidRPr="000532E7">
        <w:rPr>
          <w:lang w:val="en-GB"/>
        </w:rPr>
        <w:t>:</w:t>
      </w:r>
    </w:p>
    <w:p w14:paraId="3557EA10" w14:textId="77777777" w:rsidR="002363EE" w:rsidRPr="000532E7" w:rsidRDefault="002363EE" w:rsidP="00944319">
      <w:pPr>
        <w:pStyle w:val="LABBody10pt"/>
      </w:pPr>
      <w:r w:rsidRPr="000532E7">
        <w:rPr>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944319" w:rsidRDefault="00220812" w:rsidP="00944319">
      <w:pPr>
        <w:pStyle w:val="LABBody10pt"/>
        <w:rPr>
          <w:rStyle w:val="fontstyle01"/>
          <w:rFonts w:eastAsia="Calibri"/>
          <w:color w:val="auto"/>
          <w:sz w:val="20"/>
          <w:szCs w:val="20"/>
        </w:rPr>
      </w:pPr>
      <w:r w:rsidRPr="00944319">
        <w:rPr>
          <w:rStyle w:val="fontstyle01"/>
          <w:rFonts w:eastAsia="Calibri"/>
          <w:color w:val="auto"/>
          <w:sz w:val="20"/>
          <w:szCs w:val="20"/>
        </w:rPr>
        <w:t>The appointment is subject to the Civil Service Regulations Acts 1956 to 2005, the Public</w:t>
      </w:r>
      <w:r w:rsidRPr="00944319">
        <w:br/>
      </w:r>
      <w:r w:rsidRPr="00944319">
        <w:rPr>
          <w:rStyle w:val="fontstyle01"/>
          <w:rFonts w:eastAsia="Calibri"/>
          <w:color w:val="auto"/>
          <w:sz w:val="20"/>
          <w:szCs w:val="20"/>
        </w:rPr>
        <w:t>Service Management (Recruitment and Appointments) Act 2004 and any other Act for the</w:t>
      </w:r>
      <w:r w:rsidRPr="00944319">
        <w:br/>
      </w:r>
      <w:r w:rsidRPr="00944319">
        <w:rPr>
          <w:rStyle w:val="fontstyle01"/>
          <w:rFonts w:eastAsia="Calibri"/>
          <w:color w:val="auto"/>
          <w:sz w:val="20"/>
          <w:szCs w:val="20"/>
        </w:rPr>
        <w:t>time being in force relating to the Civil Service.</w:t>
      </w:r>
    </w:p>
    <w:p w14:paraId="7C813F1C" w14:textId="055F2171" w:rsidR="00275D40" w:rsidRPr="007533DC" w:rsidRDefault="00275D40" w:rsidP="00275D40">
      <w:pPr>
        <w:pStyle w:val="LABBody10pt"/>
      </w:pPr>
      <w:r>
        <w:rPr>
          <w:rStyle w:val="fontstyle01"/>
          <w:rFonts w:eastAsia="Calibri"/>
          <w:color w:val="auto"/>
          <w:sz w:val="20"/>
          <w:szCs w:val="20"/>
        </w:rPr>
        <w:t xml:space="preserve">The appointment may be </w:t>
      </w:r>
      <w:r w:rsidR="00220812" w:rsidRPr="00944319">
        <w:rPr>
          <w:rStyle w:val="fontstyle01"/>
          <w:rFonts w:eastAsia="Calibri"/>
          <w:color w:val="auto"/>
          <w:sz w:val="20"/>
          <w:szCs w:val="20"/>
        </w:rPr>
        <w:t>to a permanent position in the Civil Service on a probationary contract</w:t>
      </w:r>
      <w:r w:rsidR="00220812" w:rsidRPr="00944319">
        <w:br/>
      </w:r>
      <w:r w:rsidR="00220812" w:rsidRPr="00944319">
        <w:rPr>
          <w:rStyle w:val="fontstyle01"/>
          <w:rFonts w:eastAsia="Calibri"/>
          <w:color w:val="auto"/>
          <w:sz w:val="20"/>
          <w:szCs w:val="20"/>
        </w:rPr>
        <w:t xml:space="preserve">for a </w:t>
      </w:r>
      <w:r w:rsidR="00220812" w:rsidRPr="00944319">
        <w:rPr>
          <w:rFonts w:eastAsia="Calibri"/>
        </w:rPr>
        <w:t xml:space="preserve">period of one year from the date of appointment. </w:t>
      </w:r>
      <w:r>
        <w:t xml:space="preserve">Temporary positions will be subject to an </w:t>
      </w:r>
      <w:proofErr w:type="spellStart"/>
      <w:r>
        <w:t>ongoing</w:t>
      </w:r>
      <w:proofErr w:type="spellEnd"/>
      <w:r>
        <w:t xml:space="preserve"> probation. </w:t>
      </w:r>
    </w:p>
    <w:p w14:paraId="2673E904" w14:textId="64B0413F" w:rsidR="00D81F31" w:rsidRPr="00944319" w:rsidRDefault="00220812" w:rsidP="00944319">
      <w:pPr>
        <w:pStyle w:val="LABBody10pt"/>
        <w:rPr>
          <w:rStyle w:val="fontstyle01"/>
          <w:rFonts w:eastAsia="Calibri"/>
          <w:color w:val="auto"/>
          <w:sz w:val="20"/>
          <w:szCs w:val="20"/>
        </w:rPr>
      </w:pPr>
      <w:r w:rsidRPr="00944319">
        <w:rPr>
          <w:rFonts w:eastAsia="Calibri"/>
        </w:rPr>
        <w:t>Notwithstanding this paragraph and</w:t>
      </w:r>
      <w:r w:rsidR="00275D40">
        <w:t xml:space="preserve"> </w:t>
      </w:r>
      <w:r w:rsidRPr="00944319">
        <w:rPr>
          <w:rFonts w:eastAsia="Calibri"/>
        </w:rPr>
        <w:t>the paragraph immediately following below, this will not preclude an extension of the</w:t>
      </w:r>
      <w:r w:rsidR="00275D40">
        <w:t xml:space="preserve"> </w:t>
      </w:r>
      <w:r w:rsidRPr="00944319">
        <w:rPr>
          <w:rFonts w:eastAsia="Calibri"/>
        </w:rPr>
        <w:t>probationary period in appropriate</w:t>
      </w:r>
      <w:r w:rsidRPr="00944319">
        <w:rPr>
          <w:rStyle w:val="fontstyle01"/>
          <w:rFonts w:eastAsia="Calibri"/>
          <w:color w:val="auto"/>
          <w:sz w:val="20"/>
          <w:szCs w:val="20"/>
        </w:rPr>
        <w:t xml:space="preserve"> circumstances. During the period of probation, the</w:t>
      </w:r>
      <w:r w:rsidR="00275D40">
        <w:t xml:space="preserve"> </w:t>
      </w:r>
      <w:r w:rsidRPr="00944319">
        <w:rPr>
          <w:rStyle w:val="fontstyle01"/>
          <w:rFonts w:eastAsia="Calibri"/>
          <w:color w:val="auto"/>
          <w:sz w:val="20"/>
          <w:szCs w:val="20"/>
        </w:rPr>
        <w:t>appointee’s performance will be subject to review by the relevant supervisor(s) to determine</w:t>
      </w:r>
      <w:r w:rsidRPr="00944319">
        <w:br/>
      </w:r>
      <w:r w:rsidRPr="00944319">
        <w:rPr>
          <w:rStyle w:val="fontstyle01"/>
          <w:rFonts w:eastAsia="Calibri"/>
          <w:color w:val="auto"/>
          <w:sz w:val="20"/>
          <w:szCs w:val="20"/>
        </w:rPr>
        <w:t>whether the appointee:</w:t>
      </w:r>
    </w:p>
    <w:p w14:paraId="6CBDDE66" w14:textId="77777777" w:rsidR="00275D40" w:rsidRDefault="00220812" w:rsidP="00275D40">
      <w:pPr>
        <w:pStyle w:val="LABBullets"/>
        <w:rPr>
          <w:rStyle w:val="fontstyle01"/>
          <w:rFonts w:eastAsia="Calibri"/>
          <w:color w:val="auto"/>
          <w:sz w:val="20"/>
          <w:szCs w:val="20"/>
        </w:rPr>
      </w:pPr>
      <w:r w:rsidRPr="00275D40">
        <w:rPr>
          <w:rStyle w:val="fontstyle01"/>
          <w:rFonts w:eastAsia="Calibri"/>
          <w:color w:val="auto"/>
          <w:sz w:val="20"/>
          <w:szCs w:val="20"/>
        </w:rPr>
        <w:t>has performed in a satisfactory manner;</w:t>
      </w:r>
    </w:p>
    <w:p w14:paraId="32F11734" w14:textId="77777777" w:rsidR="00275D40" w:rsidRDefault="00220812" w:rsidP="00275D40">
      <w:pPr>
        <w:pStyle w:val="LABBullets"/>
        <w:rPr>
          <w:rFonts w:eastAsia="Calibri"/>
        </w:rPr>
      </w:pPr>
      <w:r w:rsidRPr="00275D40">
        <w:rPr>
          <w:rFonts w:eastAsia="Calibri"/>
        </w:rPr>
        <w:t>has been satisfactory in general conduct; and</w:t>
      </w:r>
    </w:p>
    <w:p w14:paraId="38F6CB42" w14:textId="31DA1D38" w:rsidR="000722EA" w:rsidRPr="00275D40" w:rsidRDefault="00220812" w:rsidP="00275D40">
      <w:pPr>
        <w:pStyle w:val="LABBullets"/>
        <w:rPr>
          <w:rFonts w:eastAsia="Calibri"/>
        </w:rPr>
      </w:pPr>
      <w:r w:rsidRPr="00275D40">
        <w:rPr>
          <w:rFonts w:eastAsia="Calibri"/>
        </w:rPr>
        <w:t>is suitable from the point of view of health with particular regard to sick leave.</w:t>
      </w:r>
    </w:p>
    <w:p w14:paraId="75E63939" w14:textId="0DB32C57" w:rsidR="00220812" w:rsidRPr="00275D40" w:rsidRDefault="00220812" w:rsidP="00275D40">
      <w:pPr>
        <w:pStyle w:val="LABBody10pt"/>
      </w:pPr>
      <w:r w:rsidRPr="00275D40">
        <w:rPr>
          <w:rStyle w:val="fontstyle01"/>
          <w:rFonts w:eastAsia="Calibri"/>
          <w:color w:val="auto"/>
          <w:sz w:val="20"/>
          <w:szCs w:val="20"/>
        </w:rPr>
        <w:t>Prior to completion of probation a decision will be made as to whether or not the appointee</w:t>
      </w:r>
      <w:r w:rsidR="00275D40">
        <w:t xml:space="preserve"> </w:t>
      </w:r>
      <w:r w:rsidRPr="00275D40">
        <w:rPr>
          <w:rStyle w:val="fontstyle01"/>
          <w:rFonts w:eastAsia="Calibri"/>
          <w:color w:val="auto"/>
          <w:sz w:val="20"/>
          <w:szCs w:val="20"/>
        </w:rPr>
        <w:t>will be retained pursuant to Section 5A(2) of the Civil Service Regulations Act 1956-2005.</w:t>
      </w:r>
      <w:r w:rsidRPr="00275D40">
        <w:br/>
      </w:r>
      <w:r w:rsidRPr="00275D40">
        <w:rPr>
          <w:rStyle w:val="fontstyle01"/>
          <w:rFonts w:eastAsia="Calibri"/>
          <w:color w:val="auto"/>
          <w:sz w:val="20"/>
          <w:szCs w:val="20"/>
        </w:rPr>
        <w:t>This decision will be based on the appointee’s performance being assessed against the</w:t>
      </w:r>
      <w:r w:rsidRPr="00275D40">
        <w:br/>
      </w:r>
      <w:r w:rsidRPr="00275D40">
        <w:rPr>
          <w:rStyle w:val="fontstyle01"/>
          <w:rFonts w:eastAsia="Calibri"/>
          <w:color w:val="auto"/>
          <w:sz w:val="20"/>
          <w:szCs w:val="20"/>
        </w:rPr>
        <w:t>criteria set out in (</w:t>
      </w:r>
      <w:proofErr w:type="spellStart"/>
      <w:r w:rsidRPr="00275D40">
        <w:rPr>
          <w:rStyle w:val="fontstyle01"/>
          <w:rFonts w:eastAsia="Calibri"/>
          <w:color w:val="auto"/>
          <w:sz w:val="20"/>
          <w:szCs w:val="20"/>
        </w:rPr>
        <w:t>i</w:t>
      </w:r>
      <w:proofErr w:type="spellEnd"/>
      <w:r w:rsidRPr="00275D40">
        <w:rPr>
          <w:rStyle w:val="fontstyle01"/>
          <w:rFonts w:eastAsia="Calibri"/>
          <w:color w:val="auto"/>
          <w:sz w:val="20"/>
          <w:szCs w:val="20"/>
        </w:rPr>
        <w:t>) to (iii) above. The detail of the probationary process will be explained</w:t>
      </w:r>
      <w:r w:rsidRPr="00275D40">
        <w:br/>
      </w:r>
      <w:r w:rsidRPr="00275D40">
        <w:rPr>
          <w:rStyle w:val="fontstyle01"/>
          <w:rFonts w:eastAsia="Calibri"/>
          <w:color w:val="auto"/>
          <w:sz w:val="20"/>
          <w:szCs w:val="20"/>
        </w:rPr>
        <w:t>to the appointee and the appointee will be given a copy of the Department of Public</w:t>
      </w:r>
      <w:r w:rsidR="00275D40">
        <w:t xml:space="preserve"> </w:t>
      </w:r>
      <w:r w:rsidRPr="00275D40">
        <w:rPr>
          <w:rStyle w:val="fontstyle01"/>
          <w:rFonts w:eastAsia="Calibri"/>
          <w:color w:val="auto"/>
          <w:sz w:val="20"/>
          <w:szCs w:val="20"/>
        </w:rPr>
        <w:t>Expenditure and Reform’s guidelines on probation</w:t>
      </w:r>
      <w:r w:rsidR="00D81F31" w:rsidRPr="00275D40">
        <w:rPr>
          <w:rStyle w:val="fontstyle01"/>
          <w:rFonts w:eastAsia="Calibri"/>
          <w:color w:val="auto"/>
          <w:sz w:val="20"/>
          <w:szCs w:val="20"/>
        </w:rPr>
        <w:t>.</w:t>
      </w:r>
    </w:p>
    <w:p w14:paraId="256D9AD1" w14:textId="77777777" w:rsidR="002363EE" w:rsidRPr="00395D94" w:rsidRDefault="002363EE" w:rsidP="00B175BA">
      <w:pPr>
        <w:pStyle w:val="Smallheadingorange"/>
      </w:pPr>
      <w:r w:rsidRPr="00395D94">
        <w:t>Pay</w:t>
      </w:r>
    </w:p>
    <w:p w14:paraId="79947B1F" w14:textId="697C1E60" w:rsidR="008522C9" w:rsidRDefault="000A1875" w:rsidP="000722EA">
      <w:pPr>
        <w:rPr>
          <w:rFonts w:cs="Arial"/>
        </w:rPr>
      </w:pPr>
      <w:r w:rsidRPr="000722EA">
        <w:rPr>
          <w:rFonts w:eastAsia="Times New Roman" w:cs="Arial"/>
          <w:lang w:eastAsia="en-US"/>
        </w:rPr>
        <w:t>Engineer Grade III Civil PPC Salary Scale – from 1</w:t>
      </w:r>
      <w:r w:rsidRPr="000722EA">
        <w:rPr>
          <w:rFonts w:eastAsia="Times New Roman" w:cs="Arial"/>
          <w:vertAlign w:val="superscript"/>
          <w:lang w:eastAsia="en-US"/>
        </w:rPr>
        <w:t>st</w:t>
      </w:r>
      <w:r w:rsidRPr="000722EA">
        <w:rPr>
          <w:rFonts w:eastAsia="Times New Roman" w:cs="Arial"/>
          <w:lang w:eastAsia="en-US"/>
        </w:rPr>
        <w:t xml:space="preserve"> October 202</w:t>
      </w:r>
      <w:r w:rsidR="000722EA">
        <w:rPr>
          <w:rFonts w:cs="Arial"/>
        </w:rPr>
        <w:t xml:space="preserve">1. </w:t>
      </w:r>
      <w:r w:rsidR="008522C9" w:rsidRPr="00745421">
        <w:rPr>
          <w:rFonts w:cs="Arial"/>
        </w:rPr>
        <w:t>This rate will apply where the appointee is newly recruited to the Civil Service and is making a personal pension contribution.</w:t>
      </w:r>
    </w:p>
    <w:p w14:paraId="2DB8BB55" w14:textId="77777777" w:rsidR="00275D40" w:rsidRDefault="00275D40" w:rsidP="000722EA">
      <w:pPr>
        <w:rPr>
          <w:rFonts w:cs="Arial"/>
        </w:rPr>
      </w:pPr>
    </w:p>
    <w:p w14:paraId="7B910B13" w14:textId="3CF8D48B" w:rsidR="000A1875" w:rsidRPr="00745421" w:rsidRDefault="00275D40" w:rsidP="000A1875">
      <w:pPr>
        <w:jc w:val="both"/>
        <w:rPr>
          <w:rFonts w:eastAsia="Times New Roman" w:cs="Arial"/>
          <w:lang w:eastAsia="en-US"/>
        </w:rPr>
      </w:pPr>
      <w:r w:rsidRPr="00A56856">
        <w:rPr>
          <w:lang w:val="en-GB"/>
        </w:rPr>
        <w:t xml:space="preserve">Where the position is in a part time capacity, the </w:t>
      </w:r>
      <w:r>
        <w:rPr>
          <w:lang w:val="en-GB"/>
        </w:rPr>
        <w:t xml:space="preserve">pay scales </w:t>
      </w:r>
      <w:r w:rsidRPr="00A56856">
        <w:rPr>
          <w:lang w:val="en-GB"/>
        </w:rPr>
        <w:t>will be applied on a pro-rata basis.</w:t>
      </w:r>
    </w:p>
    <w:tbl>
      <w:tblPr>
        <w:tblW w:w="2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340"/>
      </w:tblGrid>
      <w:tr w:rsidR="00944319" w:rsidRPr="00C51D35" w14:paraId="7D366F3A" w14:textId="77777777" w:rsidTr="00275D40">
        <w:trPr>
          <w:trHeight w:val="288"/>
        </w:trPr>
        <w:tc>
          <w:tcPr>
            <w:tcW w:w="740" w:type="dxa"/>
            <w:shd w:val="clear" w:color="auto" w:fill="auto"/>
            <w:noWrap/>
            <w:vAlign w:val="bottom"/>
            <w:hideMark/>
          </w:tcPr>
          <w:p w14:paraId="2DB1E0FB"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w:t>
            </w:r>
          </w:p>
        </w:tc>
        <w:tc>
          <w:tcPr>
            <w:tcW w:w="1340" w:type="dxa"/>
            <w:shd w:val="clear" w:color="auto" w:fill="auto"/>
            <w:noWrap/>
            <w:vAlign w:val="bottom"/>
            <w:hideMark/>
          </w:tcPr>
          <w:p w14:paraId="1C10C365"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€32,321.00</w:t>
            </w:r>
          </w:p>
        </w:tc>
      </w:tr>
    </w:tbl>
    <w:p w14:paraId="05E6779B" w14:textId="77777777" w:rsidR="007533DC" w:rsidRDefault="007533DC" w:rsidP="000A1875">
      <w:pPr>
        <w:jc w:val="right"/>
        <w:rPr>
          <w:rFonts w:eastAsia="Times New Roman" w:cs="Arial"/>
          <w:b/>
          <w:color w:val="000000"/>
          <w:sz w:val="18"/>
          <w:szCs w:val="18"/>
          <w:lang w:eastAsia="en-IE"/>
        </w:rPr>
        <w:sectPr w:rsidR="007533DC" w:rsidSect="007533DC">
          <w:type w:val="continuous"/>
          <w:pgSz w:w="11906" w:h="16838"/>
          <w:pgMar w:top="1440" w:right="1440" w:bottom="1440" w:left="1440" w:header="709" w:footer="709" w:gutter="0"/>
          <w:cols w:space="709"/>
          <w:docGrid w:linePitch="360"/>
        </w:sectPr>
      </w:pPr>
    </w:p>
    <w:tbl>
      <w:tblPr>
        <w:tblW w:w="2080" w:type="dxa"/>
        <w:tblInd w:w="93" w:type="dxa"/>
        <w:tblLook w:val="04A0" w:firstRow="1" w:lastRow="0" w:firstColumn="1" w:lastColumn="0" w:noHBand="0" w:noVBand="1"/>
      </w:tblPr>
      <w:tblGrid>
        <w:gridCol w:w="740"/>
        <w:gridCol w:w="1340"/>
      </w:tblGrid>
      <w:tr w:rsidR="00944319" w:rsidRPr="00C51D35" w14:paraId="1F0E3F5E"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560998" w14:textId="0EF27105"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2</w:t>
            </w:r>
          </w:p>
        </w:tc>
        <w:tc>
          <w:tcPr>
            <w:tcW w:w="1340" w:type="dxa"/>
            <w:tcBorders>
              <w:top w:val="nil"/>
              <w:left w:val="nil"/>
              <w:bottom w:val="single" w:sz="4" w:space="0" w:color="auto"/>
              <w:right w:val="single" w:sz="4" w:space="0" w:color="auto"/>
            </w:tcBorders>
            <w:shd w:val="clear" w:color="auto" w:fill="auto"/>
            <w:noWrap/>
            <w:vAlign w:val="bottom"/>
            <w:hideMark/>
          </w:tcPr>
          <w:p w14:paraId="7BBAD9EB"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€34,650.00</w:t>
            </w:r>
          </w:p>
        </w:tc>
      </w:tr>
      <w:tr w:rsidR="00944319" w:rsidRPr="00C51D35" w14:paraId="32A92227"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0A1B10D"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3</w:t>
            </w:r>
          </w:p>
        </w:tc>
        <w:tc>
          <w:tcPr>
            <w:tcW w:w="1340" w:type="dxa"/>
            <w:tcBorders>
              <w:top w:val="nil"/>
              <w:left w:val="nil"/>
              <w:bottom w:val="single" w:sz="4" w:space="0" w:color="auto"/>
              <w:right w:val="single" w:sz="4" w:space="0" w:color="auto"/>
            </w:tcBorders>
            <w:shd w:val="clear" w:color="auto" w:fill="auto"/>
            <w:noWrap/>
            <w:vAlign w:val="bottom"/>
            <w:hideMark/>
          </w:tcPr>
          <w:p w14:paraId="5611E02A"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€35,274.00</w:t>
            </w:r>
          </w:p>
        </w:tc>
      </w:tr>
      <w:tr w:rsidR="00944319" w:rsidRPr="00C51D35" w14:paraId="7E364872"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D900C4F"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4</w:t>
            </w:r>
          </w:p>
        </w:tc>
        <w:tc>
          <w:tcPr>
            <w:tcW w:w="1340" w:type="dxa"/>
            <w:tcBorders>
              <w:top w:val="nil"/>
              <w:left w:val="nil"/>
              <w:bottom w:val="single" w:sz="4" w:space="0" w:color="auto"/>
              <w:right w:val="single" w:sz="4" w:space="0" w:color="auto"/>
            </w:tcBorders>
            <w:shd w:val="clear" w:color="auto" w:fill="auto"/>
            <w:noWrap/>
            <w:vAlign w:val="bottom"/>
            <w:hideMark/>
          </w:tcPr>
          <w:p w14:paraId="3A34F9E2"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€38,383.00</w:t>
            </w:r>
          </w:p>
        </w:tc>
      </w:tr>
      <w:tr w:rsidR="00944319" w:rsidRPr="00C51D35" w14:paraId="27FAE528"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8647D0"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5</w:t>
            </w:r>
          </w:p>
        </w:tc>
        <w:tc>
          <w:tcPr>
            <w:tcW w:w="1340" w:type="dxa"/>
            <w:tcBorders>
              <w:top w:val="nil"/>
              <w:left w:val="nil"/>
              <w:bottom w:val="single" w:sz="4" w:space="0" w:color="auto"/>
              <w:right w:val="single" w:sz="4" w:space="0" w:color="auto"/>
            </w:tcBorders>
            <w:shd w:val="clear" w:color="auto" w:fill="auto"/>
            <w:noWrap/>
            <w:vAlign w:val="bottom"/>
            <w:hideMark/>
          </w:tcPr>
          <w:p w14:paraId="517D968E"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€41,502.00</w:t>
            </w:r>
          </w:p>
        </w:tc>
      </w:tr>
      <w:tr w:rsidR="00944319" w:rsidRPr="00C51D35" w14:paraId="095F9B11"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F35E913"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6</w:t>
            </w:r>
          </w:p>
        </w:tc>
        <w:tc>
          <w:tcPr>
            <w:tcW w:w="1340" w:type="dxa"/>
            <w:tcBorders>
              <w:top w:val="nil"/>
              <w:left w:val="nil"/>
              <w:bottom w:val="single" w:sz="4" w:space="0" w:color="auto"/>
              <w:right w:val="single" w:sz="4" w:space="0" w:color="auto"/>
            </w:tcBorders>
            <w:shd w:val="clear" w:color="auto" w:fill="auto"/>
            <w:noWrap/>
            <w:vAlign w:val="bottom"/>
            <w:hideMark/>
          </w:tcPr>
          <w:p w14:paraId="323B6AED"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€44,622.00</w:t>
            </w:r>
          </w:p>
        </w:tc>
      </w:tr>
      <w:tr w:rsidR="00944319" w:rsidRPr="00C51D35" w14:paraId="5D5F2157"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CC9638"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7</w:t>
            </w:r>
          </w:p>
        </w:tc>
        <w:tc>
          <w:tcPr>
            <w:tcW w:w="1340" w:type="dxa"/>
            <w:tcBorders>
              <w:top w:val="nil"/>
              <w:left w:val="nil"/>
              <w:bottom w:val="single" w:sz="4" w:space="0" w:color="auto"/>
              <w:right w:val="single" w:sz="4" w:space="0" w:color="auto"/>
            </w:tcBorders>
            <w:shd w:val="clear" w:color="auto" w:fill="auto"/>
            <w:noWrap/>
            <w:vAlign w:val="bottom"/>
            <w:hideMark/>
          </w:tcPr>
          <w:p w14:paraId="4AABC147"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€47,743.00</w:t>
            </w:r>
          </w:p>
        </w:tc>
      </w:tr>
      <w:tr w:rsidR="00944319" w:rsidRPr="00C51D35" w14:paraId="696CA356"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8EEE4F"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8</w:t>
            </w:r>
          </w:p>
        </w:tc>
        <w:tc>
          <w:tcPr>
            <w:tcW w:w="1340" w:type="dxa"/>
            <w:tcBorders>
              <w:top w:val="nil"/>
              <w:left w:val="nil"/>
              <w:bottom w:val="single" w:sz="4" w:space="0" w:color="auto"/>
              <w:right w:val="single" w:sz="4" w:space="0" w:color="auto"/>
            </w:tcBorders>
            <w:shd w:val="clear" w:color="auto" w:fill="auto"/>
            <w:noWrap/>
            <w:vAlign w:val="bottom"/>
            <w:hideMark/>
          </w:tcPr>
          <w:p w14:paraId="77590F28"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€49,670.00</w:t>
            </w:r>
          </w:p>
        </w:tc>
      </w:tr>
      <w:tr w:rsidR="00944319" w:rsidRPr="00C51D35" w14:paraId="3F3FBB88"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C30D09"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9</w:t>
            </w:r>
          </w:p>
        </w:tc>
        <w:tc>
          <w:tcPr>
            <w:tcW w:w="1340" w:type="dxa"/>
            <w:tcBorders>
              <w:top w:val="nil"/>
              <w:left w:val="nil"/>
              <w:bottom w:val="single" w:sz="4" w:space="0" w:color="auto"/>
              <w:right w:val="single" w:sz="4" w:space="0" w:color="auto"/>
            </w:tcBorders>
            <w:shd w:val="clear" w:color="auto" w:fill="auto"/>
            <w:noWrap/>
            <w:vAlign w:val="bottom"/>
            <w:hideMark/>
          </w:tcPr>
          <w:p w14:paraId="60D7D03C"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€51,592.00</w:t>
            </w:r>
          </w:p>
        </w:tc>
      </w:tr>
      <w:tr w:rsidR="00944319" w:rsidRPr="00C51D35" w14:paraId="31249D86"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0A2CB9"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10</w:t>
            </w:r>
          </w:p>
        </w:tc>
        <w:tc>
          <w:tcPr>
            <w:tcW w:w="1340" w:type="dxa"/>
            <w:tcBorders>
              <w:top w:val="nil"/>
              <w:left w:val="nil"/>
              <w:bottom w:val="single" w:sz="4" w:space="0" w:color="auto"/>
              <w:right w:val="single" w:sz="4" w:space="0" w:color="auto"/>
            </w:tcBorders>
            <w:shd w:val="clear" w:color="auto" w:fill="auto"/>
            <w:noWrap/>
            <w:vAlign w:val="bottom"/>
            <w:hideMark/>
          </w:tcPr>
          <w:p w14:paraId="2062604B"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€53,526.00</w:t>
            </w:r>
          </w:p>
        </w:tc>
      </w:tr>
      <w:tr w:rsidR="00944319" w:rsidRPr="00C51D35" w14:paraId="4BA0B03D"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BBE862"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11</w:t>
            </w:r>
          </w:p>
        </w:tc>
        <w:tc>
          <w:tcPr>
            <w:tcW w:w="1340" w:type="dxa"/>
            <w:tcBorders>
              <w:top w:val="nil"/>
              <w:left w:val="nil"/>
              <w:bottom w:val="single" w:sz="4" w:space="0" w:color="auto"/>
              <w:right w:val="single" w:sz="4" w:space="0" w:color="auto"/>
            </w:tcBorders>
            <w:shd w:val="clear" w:color="auto" w:fill="auto"/>
            <w:noWrap/>
            <w:vAlign w:val="bottom"/>
            <w:hideMark/>
          </w:tcPr>
          <w:p w14:paraId="17CED51D"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€55,447.00</w:t>
            </w:r>
          </w:p>
        </w:tc>
      </w:tr>
      <w:tr w:rsidR="00944319" w:rsidRPr="00C51D35" w14:paraId="73DF13D9"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E95F4BD"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12</w:t>
            </w:r>
          </w:p>
        </w:tc>
        <w:tc>
          <w:tcPr>
            <w:tcW w:w="1340" w:type="dxa"/>
            <w:tcBorders>
              <w:top w:val="nil"/>
              <w:left w:val="nil"/>
              <w:bottom w:val="single" w:sz="4" w:space="0" w:color="auto"/>
              <w:right w:val="single" w:sz="4" w:space="0" w:color="auto"/>
            </w:tcBorders>
            <w:shd w:val="clear" w:color="auto" w:fill="auto"/>
            <w:noWrap/>
            <w:vAlign w:val="bottom"/>
            <w:hideMark/>
          </w:tcPr>
          <w:p w14:paraId="09DAFC09"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€57,374.00</w:t>
            </w:r>
          </w:p>
        </w:tc>
      </w:tr>
      <w:tr w:rsidR="00944319" w:rsidRPr="00C51D35" w14:paraId="0277E861"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00953E8"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13</w:t>
            </w:r>
          </w:p>
        </w:tc>
        <w:tc>
          <w:tcPr>
            <w:tcW w:w="1340" w:type="dxa"/>
            <w:tcBorders>
              <w:top w:val="nil"/>
              <w:left w:val="nil"/>
              <w:bottom w:val="single" w:sz="4" w:space="0" w:color="auto"/>
              <w:right w:val="single" w:sz="4" w:space="0" w:color="auto"/>
            </w:tcBorders>
            <w:shd w:val="clear" w:color="auto" w:fill="auto"/>
            <w:noWrap/>
            <w:vAlign w:val="bottom"/>
            <w:hideMark/>
          </w:tcPr>
          <w:p w14:paraId="10E4D0AA"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€59,302.00</w:t>
            </w:r>
          </w:p>
        </w:tc>
      </w:tr>
      <w:tr w:rsidR="00944319" w:rsidRPr="00C51D35" w14:paraId="5D5C885B"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1A8C6E"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14</w:t>
            </w:r>
          </w:p>
        </w:tc>
        <w:tc>
          <w:tcPr>
            <w:tcW w:w="1340" w:type="dxa"/>
            <w:tcBorders>
              <w:top w:val="nil"/>
              <w:left w:val="nil"/>
              <w:bottom w:val="single" w:sz="4" w:space="0" w:color="auto"/>
              <w:right w:val="single" w:sz="4" w:space="0" w:color="auto"/>
            </w:tcBorders>
            <w:shd w:val="clear" w:color="auto" w:fill="auto"/>
            <w:noWrap/>
            <w:vAlign w:val="bottom"/>
            <w:hideMark/>
          </w:tcPr>
          <w:p w14:paraId="0E8A44D6"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€61,224.00</w:t>
            </w:r>
          </w:p>
        </w:tc>
      </w:tr>
      <w:tr w:rsidR="00944319" w:rsidRPr="00C51D35" w14:paraId="0C8258DA"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E7EC8A"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MAX</w:t>
            </w:r>
          </w:p>
        </w:tc>
        <w:tc>
          <w:tcPr>
            <w:tcW w:w="1340" w:type="dxa"/>
            <w:tcBorders>
              <w:top w:val="nil"/>
              <w:left w:val="nil"/>
              <w:bottom w:val="single" w:sz="4" w:space="0" w:color="auto"/>
              <w:right w:val="single" w:sz="4" w:space="0" w:color="auto"/>
            </w:tcBorders>
            <w:shd w:val="clear" w:color="auto" w:fill="auto"/>
            <w:noWrap/>
            <w:vAlign w:val="bottom"/>
            <w:hideMark/>
          </w:tcPr>
          <w:p w14:paraId="796A5008"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€63,159.00</w:t>
            </w:r>
          </w:p>
        </w:tc>
      </w:tr>
      <w:tr w:rsidR="00944319" w:rsidRPr="00C51D35" w14:paraId="0CC4FC14"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F97680D"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LSI 1</w:t>
            </w:r>
          </w:p>
        </w:tc>
        <w:tc>
          <w:tcPr>
            <w:tcW w:w="1340" w:type="dxa"/>
            <w:tcBorders>
              <w:top w:val="nil"/>
              <w:left w:val="nil"/>
              <w:bottom w:val="single" w:sz="4" w:space="0" w:color="auto"/>
              <w:right w:val="single" w:sz="4" w:space="0" w:color="auto"/>
            </w:tcBorders>
            <w:shd w:val="clear" w:color="auto" w:fill="auto"/>
            <w:noWrap/>
            <w:vAlign w:val="bottom"/>
            <w:hideMark/>
          </w:tcPr>
          <w:p w14:paraId="6E7FB826"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€65,302.00</w:t>
            </w:r>
          </w:p>
        </w:tc>
      </w:tr>
      <w:tr w:rsidR="00944319" w:rsidRPr="00C51D35" w14:paraId="73F1CAE9" w14:textId="77777777" w:rsidTr="00944319">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C075298" w14:textId="77777777" w:rsidR="00944319" w:rsidRPr="00D81F31" w:rsidRDefault="00944319" w:rsidP="000A1875">
            <w:pPr>
              <w:jc w:val="right"/>
              <w:rPr>
                <w:rFonts w:eastAsia="Times New Roman" w:cs="Arial"/>
                <w:b/>
                <w:color w:val="000000"/>
                <w:sz w:val="18"/>
                <w:szCs w:val="18"/>
                <w:lang w:eastAsia="en-IE"/>
              </w:rPr>
            </w:pPr>
            <w:r w:rsidRPr="00D81F31">
              <w:rPr>
                <w:rFonts w:eastAsia="Times New Roman" w:cs="Arial"/>
                <w:b/>
                <w:color w:val="000000"/>
                <w:sz w:val="18"/>
                <w:szCs w:val="18"/>
                <w:lang w:eastAsia="en-IE"/>
              </w:rPr>
              <w:t>LSI 2</w:t>
            </w:r>
          </w:p>
        </w:tc>
        <w:tc>
          <w:tcPr>
            <w:tcW w:w="1340" w:type="dxa"/>
            <w:tcBorders>
              <w:top w:val="nil"/>
              <w:left w:val="nil"/>
              <w:bottom w:val="single" w:sz="4" w:space="0" w:color="auto"/>
              <w:right w:val="single" w:sz="4" w:space="0" w:color="auto"/>
            </w:tcBorders>
            <w:shd w:val="clear" w:color="auto" w:fill="auto"/>
            <w:noWrap/>
            <w:vAlign w:val="bottom"/>
            <w:hideMark/>
          </w:tcPr>
          <w:p w14:paraId="3FF88E6D" w14:textId="77777777" w:rsidR="00944319" w:rsidRPr="00C51D35" w:rsidRDefault="00944319" w:rsidP="000A1875">
            <w:pPr>
              <w:jc w:val="right"/>
              <w:rPr>
                <w:rFonts w:eastAsia="Times New Roman" w:cs="Arial"/>
                <w:color w:val="000000"/>
                <w:sz w:val="18"/>
                <w:szCs w:val="18"/>
                <w:lang w:eastAsia="en-IE"/>
              </w:rPr>
            </w:pPr>
            <w:r w:rsidRPr="00C51D35">
              <w:rPr>
                <w:rFonts w:eastAsia="Times New Roman" w:cs="Arial"/>
                <w:color w:val="000000"/>
                <w:sz w:val="18"/>
                <w:szCs w:val="18"/>
                <w:lang w:eastAsia="en-IE"/>
              </w:rPr>
              <w:t>€67,440.00</w:t>
            </w:r>
          </w:p>
        </w:tc>
      </w:tr>
    </w:tbl>
    <w:p w14:paraId="719BB9C1" w14:textId="77777777" w:rsidR="00220812" w:rsidRDefault="00220812" w:rsidP="000A1875">
      <w:pPr>
        <w:jc w:val="both"/>
        <w:rPr>
          <w:rFonts w:eastAsia="Times New Roman" w:cs="Arial"/>
          <w:lang w:eastAsia="en-US"/>
        </w:rPr>
        <w:sectPr w:rsidR="00220812" w:rsidSect="00C8788D">
          <w:type w:val="continuous"/>
          <w:pgSz w:w="11906" w:h="16838"/>
          <w:pgMar w:top="1440" w:right="1440" w:bottom="1440" w:left="1440" w:header="709" w:footer="709" w:gutter="0"/>
          <w:cols w:space="709"/>
          <w:docGrid w:linePitch="360"/>
        </w:sectPr>
      </w:pPr>
    </w:p>
    <w:p w14:paraId="1E02547E" w14:textId="3BDB92CE" w:rsidR="000A1875" w:rsidRPr="00745421" w:rsidRDefault="000A1875" w:rsidP="000A1875">
      <w:pPr>
        <w:jc w:val="both"/>
        <w:rPr>
          <w:rFonts w:eastAsia="Times New Roman" w:cs="Arial"/>
          <w:lang w:eastAsia="en-US"/>
        </w:rPr>
      </w:pPr>
    </w:p>
    <w:p w14:paraId="54D0F2C8" w14:textId="77777777" w:rsidR="008522C9" w:rsidRDefault="008522C9"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p w14:paraId="49F0005A" w14:textId="77777777" w:rsidR="00FF1F06" w:rsidRPr="00745421" w:rsidRDefault="00FF1F06"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70999FB1" w14:textId="77777777" w:rsidR="00944319" w:rsidRDefault="00944319" w:rsidP="007533DC">
      <w:pPr>
        <w:pStyle w:val="LABBody10pt"/>
      </w:pPr>
    </w:p>
    <w:p w14:paraId="50903FB0" w14:textId="134480B1" w:rsidR="00944319" w:rsidRDefault="00944319" w:rsidP="00944319">
      <w:pPr>
        <w:pStyle w:val="Smallheadingorange"/>
      </w:pPr>
      <w:r>
        <w:t>Te</w:t>
      </w:r>
      <w:r w:rsidR="002363EE" w:rsidRPr="00B175BA">
        <w:t>nure</w:t>
      </w:r>
    </w:p>
    <w:p w14:paraId="5B80C935" w14:textId="48E81C7A" w:rsidR="007533DC" w:rsidRDefault="000A1875" w:rsidP="007533DC">
      <w:pPr>
        <w:pStyle w:val="LABBody10pt"/>
      </w:pPr>
      <w:r w:rsidRPr="007533DC">
        <w:t xml:space="preserve">A Panel will be established from which </w:t>
      </w:r>
      <w:r w:rsidR="000722EA" w:rsidRPr="007533DC">
        <w:t xml:space="preserve">the Board might offer </w:t>
      </w:r>
      <w:r w:rsidRPr="007533DC">
        <w:t xml:space="preserve">temporary and permanent positions at Mediator level that may arise </w:t>
      </w:r>
      <w:r w:rsidR="007533DC">
        <w:t xml:space="preserve">in </w:t>
      </w:r>
      <w:r w:rsidR="000722EA" w:rsidRPr="007533DC">
        <w:t xml:space="preserve">the locations indicated </w:t>
      </w:r>
      <w:r w:rsidR="00AA0818" w:rsidRPr="007533DC">
        <w:t xml:space="preserve">in the accompanying application form </w:t>
      </w:r>
      <w:r w:rsidRPr="007533DC">
        <w:t xml:space="preserve">in the 12 months following the Panel’s establishment. </w:t>
      </w:r>
      <w:r w:rsidRPr="00C8788D">
        <w:t>Human Resources reserve the right to extend the length of the panel for an</w:t>
      </w:r>
      <w:r w:rsidRPr="00C16FCB">
        <w:t xml:space="preserve"> additional 12 months. </w:t>
      </w:r>
      <w:r w:rsidR="000722EA" w:rsidRPr="00C16FCB">
        <w:t xml:space="preserve"> </w:t>
      </w:r>
    </w:p>
    <w:p w14:paraId="5F0A3EA4" w14:textId="30FE9A0F" w:rsidR="00C16FCB" w:rsidRDefault="00064919" w:rsidP="007533DC">
      <w:pPr>
        <w:pStyle w:val="LABBody10pt"/>
      </w:pPr>
      <w:r w:rsidRPr="007533DC">
        <w:t>It is essential that you select the location(s) which you are willing to serve</w:t>
      </w:r>
      <w:r w:rsidR="00275D40">
        <w:t>.</w:t>
      </w:r>
      <w:r w:rsidRPr="007533DC">
        <w:t xml:space="preserve"> Human resources will return any application </w:t>
      </w:r>
      <w:r w:rsidR="00C8788D">
        <w:t>that</w:t>
      </w:r>
      <w:r w:rsidR="00C8788D" w:rsidRPr="007533DC">
        <w:t xml:space="preserve"> </w:t>
      </w:r>
      <w:r w:rsidRPr="007533DC">
        <w:t xml:space="preserve">does not specify this information which is part of the application procedures.  </w:t>
      </w:r>
      <w:r w:rsidR="00C16FCB">
        <w:t xml:space="preserve">If an offer is declined to one of the selected locations, the </w:t>
      </w:r>
      <w:r w:rsidR="00944319">
        <w:t>candidates’</w:t>
      </w:r>
      <w:r w:rsidR="00C16FCB">
        <w:t xml:space="preserve"> position on other location panels is not affected.</w:t>
      </w:r>
    </w:p>
    <w:p w14:paraId="7C793072" w14:textId="326908D1" w:rsidR="000722EA" w:rsidRPr="007533DC" w:rsidRDefault="00064919" w:rsidP="007533DC">
      <w:pPr>
        <w:pStyle w:val="LABBody10pt"/>
      </w:pPr>
      <w:r w:rsidRPr="007533DC">
        <w:t>Any a</w:t>
      </w:r>
      <w:r w:rsidRPr="007533DC" w:rsidDel="007533DC">
        <w:t xml:space="preserve">ppointments </w:t>
      </w:r>
      <w:r w:rsidRPr="007533DC">
        <w:t xml:space="preserve">that </w:t>
      </w:r>
      <w:r w:rsidR="00C16FCB">
        <w:t>may</w:t>
      </w:r>
      <w:r w:rsidR="00C16FCB" w:rsidRPr="007533DC" w:rsidDel="007533DC">
        <w:t xml:space="preserve"> </w:t>
      </w:r>
      <w:r w:rsidRPr="007533DC" w:rsidDel="007533DC">
        <w:t>arise to a</w:t>
      </w:r>
      <w:r w:rsidR="000722EA" w:rsidRPr="007533DC" w:rsidDel="007533DC">
        <w:t xml:space="preserve"> permanent, established Mediator position in the Legal Aid Board </w:t>
      </w:r>
      <w:r w:rsidR="00C16FCB">
        <w:t>has</w:t>
      </w:r>
      <w:r w:rsidR="00C16FCB" w:rsidRPr="007533DC" w:rsidDel="007533DC">
        <w:t xml:space="preserve"> </w:t>
      </w:r>
      <w:r w:rsidR="000722EA" w:rsidRPr="007533DC" w:rsidDel="007533DC">
        <w:t xml:space="preserve">a 12 month probationary </w:t>
      </w:r>
      <w:proofErr w:type="spellStart"/>
      <w:r w:rsidR="000722EA" w:rsidRPr="007533DC" w:rsidDel="007533DC">
        <w:t>unestablished</w:t>
      </w:r>
      <w:proofErr w:type="spellEnd"/>
      <w:r w:rsidR="000722EA" w:rsidRPr="007533DC" w:rsidDel="007533DC">
        <w:t xml:space="preserve"> </w:t>
      </w:r>
      <w:r w:rsidR="000722EA" w:rsidRPr="007533DC">
        <w:t xml:space="preserve">period.  </w:t>
      </w:r>
      <w:r w:rsidR="00C16FCB">
        <w:t xml:space="preserve">Temporary positions will be subject to </w:t>
      </w:r>
      <w:r w:rsidR="00275D40">
        <w:t xml:space="preserve">an </w:t>
      </w:r>
      <w:proofErr w:type="spellStart"/>
      <w:r w:rsidR="00C16FCB">
        <w:t>ongoing</w:t>
      </w:r>
      <w:proofErr w:type="spellEnd"/>
      <w:r w:rsidR="00C16FCB">
        <w:t xml:space="preserve"> probation. </w:t>
      </w:r>
    </w:p>
    <w:p w14:paraId="521D1720" w14:textId="6C1DB965" w:rsidR="008522C9" w:rsidRPr="00C8788D" w:rsidRDefault="00064919" w:rsidP="007533DC">
      <w:pPr>
        <w:pStyle w:val="LABBody10pt"/>
      </w:pPr>
      <w:r w:rsidRPr="007533DC">
        <w:t>Any appointments made arising from this competition are</w:t>
      </w:r>
      <w:r w:rsidR="008522C9" w:rsidRPr="007533DC">
        <w:t xml:space="preserve">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229D6C98" w:rsidR="008522C9" w:rsidRPr="00944319" w:rsidRDefault="008522C9" w:rsidP="00944319">
      <w:pPr>
        <w:pStyle w:val="LABBody10pt"/>
      </w:pPr>
      <w:r w:rsidRPr="00944319">
        <w:rPr>
          <w:rStyle w:val="fontstyle01"/>
          <w:rFonts w:eastAsia="Calibri"/>
          <w:color w:val="auto"/>
          <w:sz w:val="20"/>
          <w:szCs w:val="20"/>
        </w:rPr>
        <w:t>Appointees will be required to perform any duties which may be assigned to them from time</w:t>
      </w:r>
      <w:r w:rsidRPr="00944319">
        <w:br/>
      </w:r>
      <w:r w:rsidRPr="00944319">
        <w:rPr>
          <w:rStyle w:val="fontstyle01"/>
          <w:rFonts w:eastAsia="Calibri"/>
          <w:color w:val="auto"/>
          <w:sz w:val="20"/>
          <w:szCs w:val="20"/>
        </w:rPr>
        <w:t>to time as appropriate</w:t>
      </w:r>
      <w:r w:rsidR="00CC2D7F">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248201C6" w:rsidR="005D30CA" w:rsidRPr="00D81F31" w:rsidRDefault="005D30CA" w:rsidP="00D81F31">
      <w:pPr>
        <w:pStyle w:val="LABBody10pt"/>
      </w:pPr>
      <w:r w:rsidRPr="00D81F31">
        <w:t>The successful candidates may not engage in private practice or be connected with any outside business which would interfere with the performance of official duties or conflict in any way with the position of a Mediator in the Board.  This shall not prevent the Mediator from providing mediation services outside of their working hours with the Legal Aid Board, once the Board is satisfied that no conflict of interest exists</w:t>
      </w:r>
      <w:r w:rsidR="00D75E2A">
        <w:t xml:space="preserve"> and explicit permission is obtained from the Personnel Officer.</w:t>
      </w:r>
    </w:p>
    <w:p w14:paraId="5DB0CA71" w14:textId="77777777" w:rsidR="002363EE" w:rsidRPr="000532E7" w:rsidRDefault="002363EE" w:rsidP="00B175BA">
      <w:pPr>
        <w:pStyle w:val="Smallheadingorange"/>
      </w:pPr>
      <w:r w:rsidRPr="00395D94">
        <w:t>Headquarters</w:t>
      </w:r>
    </w:p>
    <w:p w14:paraId="492ECF1A" w14:textId="77777777" w:rsidR="005D30CA" w:rsidRPr="00A56856" w:rsidRDefault="005D30CA" w:rsidP="00D81F31">
      <w:pPr>
        <w:pStyle w:val="LABBody10pt"/>
        <w:rPr>
          <w:lang w:val="en-GB"/>
        </w:rPr>
      </w:pPr>
      <w:r w:rsidRPr="00A56856">
        <w:rPr>
          <w:lang w:val="en-GB"/>
        </w:rPr>
        <w:t>When absent from home and headquarters on official duty a mediator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754AF5AB" w14:textId="7C7B4959" w:rsidR="005D30CA" w:rsidRPr="00A56856" w:rsidRDefault="005D30CA" w:rsidP="00D81F31">
      <w:pPr>
        <w:pStyle w:val="LABBody10pt"/>
        <w:rPr>
          <w:lang w:val="en-GB"/>
        </w:rPr>
      </w:pPr>
      <w:r w:rsidRPr="00A56856">
        <w:t>Hours of attendance will be fixed from time to time but will amount to not less than 43.25 hours gross per week for a full time position. Where the position is in a part time capacity, these hours will be adjusted on a pro rata basis.</w:t>
      </w:r>
      <w:r w:rsidRPr="00A56856">
        <w:rPr>
          <w:lang w:val="en-GB"/>
        </w:rPr>
        <w:t xml:space="preserve">The Mediator may be required to work such additional hours from time to time as may be reasonable and necessary for the proper performance of his/her duties subject to the limits set down in the </w:t>
      </w:r>
      <w:r w:rsidR="00EE2CCA">
        <w:rPr>
          <w:lang w:val="en-GB"/>
        </w:rPr>
        <w:t>W</w:t>
      </w:r>
      <w:r w:rsidR="00EE2CCA" w:rsidRPr="00A56856">
        <w:rPr>
          <w:lang w:val="en-GB"/>
        </w:rPr>
        <w:t xml:space="preserve">orking </w:t>
      </w:r>
      <w:r w:rsidR="00EE2CCA">
        <w:rPr>
          <w:lang w:val="en-GB"/>
        </w:rPr>
        <w:t>Time</w:t>
      </w:r>
      <w:r w:rsidR="00EE2CCA" w:rsidRPr="00A56856">
        <w:rPr>
          <w:lang w:val="en-GB"/>
        </w:rPr>
        <w:t xml:space="preserve"> </w:t>
      </w:r>
      <w:r w:rsidR="00EE2CCA">
        <w:rPr>
          <w:lang w:val="en-GB"/>
        </w:rPr>
        <w:t>Act 1997</w:t>
      </w:r>
      <w:r w:rsidR="00EE2CCA" w:rsidRPr="00A56856">
        <w:rPr>
          <w:lang w:val="en-GB"/>
        </w:rPr>
        <w:t>.</w:t>
      </w:r>
    </w:p>
    <w:p w14:paraId="0A664B70" w14:textId="77777777" w:rsidR="002363EE" w:rsidRPr="00565F47" w:rsidRDefault="002363EE" w:rsidP="00B175BA">
      <w:pPr>
        <w:pStyle w:val="Smallheadingorange"/>
      </w:pPr>
      <w:r w:rsidRPr="00565F47">
        <w:t>Annual Leave</w:t>
      </w:r>
    </w:p>
    <w:p w14:paraId="6D0FBFD7" w14:textId="392F2AFF" w:rsidR="005D30CA" w:rsidRPr="00A56856" w:rsidRDefault="005D30CA" w:rsidP="00D81F31">
      <w:pPr>
        <w:pStyle w:val="LABBody10pt"/>
        <w:rPr>
          <w:b/>
          <w:u w:val="single"/>
        </w:rPr>
      </w:pPr>
      <w:r w:rsidRPr="00A56856">
        <w:rPr>
          <w:lang w:val="en-GB"/>
        </w:rPr>
        <w:t>The annual leave for this position is 25 days, rising to 28 after 5 years' service.</w:t>
      </w:r>
      <w:r w:rsidRPr="00A56856">
        <w:t xml:space="preserv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59082E62" w14:textId="77777777" w:rsidR="00944319" w:rsidRDefault="00944319" w:rsidP="00395D94">
      <w:pPr>
        <w:pStyle w:val="LABBody10pt"/>
      </w:pPr>
    </w:p>
    <w:p w14:paraId="29E857F2" w14:textId="77777777" w:rsidR="00944319" w:rsidRPr="00D85C0F" w:rsidRDefault="00944319" w:rsidP="00395D94">
      <w:pPr>
        <w:pStyle w:val="LABBody10pt"/>
      </w:pP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62E77662" w:rsidR="003E277A" w:rsidRPr="00352568" w:rsidRDefault="003E277A" w:rsidP="00064919">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5DC7A0F3"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00064919">
        <w:rPr>
          <w:bCs/>
        </w:rPr>
        <w:t xml:space="preserve"> </w:t>
      </w:r>
      <w:r w:rsidRPr="00352568">
        <w:t xml:space="preserve">Application forms are only available from our website at </w:t>
      </w:r>
      <w:hyperlink r:id="rId17" w:history="1">
        <w:r w:rsidRPr="00CC2D7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w:t>
      </w:r>
      <w:bookmarkStart w:id="0" w:name="_GoBack"/>
      <w:bookmarkEnd w:id="0"/>
      <w:r w:rsidRPr="00D85C0F">
        <w:rPr>
          <w:bCs/>
        </w:rPr>
        <w:t>tice.</w:t>
      </w:r>
    </w:p>
    <w:p w14:paraId="103FB22A" w14:textId="4FC899F8" w:rsidR="002363EE" w:rsidRPr="00D85C0F" w:rsidRDefault="002363EE" w:rsidP="00B175BA">
      <w:pPr>
        <w:pStyle w:val="LABBody10pt"/>
        <w:rPr>
          <w:bCs/>
        </w:rPr>
      </w:pPr>
      <w:r w:rsidRPr="00D85C0F">
        <w:rPr>
          <w:bCs/>
        </w:rPr>
        <w:t xml:space="preserve">Application forms submitted by email must be sent in </w:t>
      </w:r>
      <w:r w:rsidRPr="00D85C0F">
        <w:rPr>
          <w:b/>
          <w:bCs/>
        </w:rPr>
        <w:t>.PDF or MS Word format only</w:t>
      </w:r>
      <w:r w:rsidRPr="00D85C0F">
        <w:rPr>
          <w:bCs/>
        </w:rPr>
        <w:t xml:space="preserve">. </w:t>
      </w:r>
    </w:p>
    <w:p w14:paraId="410EAE5A" w14:textId="30F06E2A"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5D30CA">
        <w:rPr>
          <w:bCs/>
        </w:rPr>
        <w:t xml:space="preserve">Mediator </w:t>
      </w:r>
      <w:r w:rsidRPr="00D85C0F">
        <w:rPr>
          <w:bCs/>
        </w:rPr>
        <w:t xml:space="preserve">Recruitment Competition at </w:t>
      </w:r>
      <w:hyperlink r:id="rId18" w:history="1">
        <w:r w:rsidR="005D30CA" w:rsidRPr="00CC2D7F">
          <w:rPr>
            <w:rStyle w:val="Hyperlink"/>
            <w:b/>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D463648"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r w:rsidR="007533DC">
        <w:t xml:space="preserve"> </w:t>
      </w:r>
    </w:p>
    <w:p w14:paraId="0B0A382E" w14:textId="77777777" w:rsidR="002363EE" w:rsidRPr="00D85C0F" w:rsidRDefault="002363EE" w:rsidP="00B175BA">
      <w:pPr>
        <w:pStyle w:val="Smallheadingorange"/>
      </w:pPr>
      <w:r w:rsidRPr="00D85C0F">
        <w:t>Closing date</w:t>
      </w:r>
    </w:p>
    <w:p w14:paraId="582E9276" w14:textId="5CE81DAF"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275D40">
        <w:rPr>
          <w:b/>
        </w:rPr>
        <w:t>Thursday 8</w:t>
      </w:r>
      <w:r w:rsidR="00275D40" w:rsidRPr="00275D40">
        <w:rPr>
          <w:b/>
          <w:vertAlign w:val="superscript"/>
        </w:rPr>
        <w:t>th</w:t>
      </w:r>
      <w:r w:rsidR="00275D40">
        <w:rPr>
          <w:b/>
        </w:rPr>
        <w:t xml:space="preserve"> April </w:t>
      </w:r>
      <w:r w:rsidRPr="00D85C0F">
        <w:rPr>
          <w:b/>
        </w:rPr>
        <w:t xml:space="preserve">2021.  </w:t>
      </w:r>
      <w:r w:rsidRPr="00D85C0F">
        <w:t xml:space="preserve">If you do not receive an acknowledgement of receipt of your application within 2 working days of applying, please contact: Human Resources Section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0BB7E6F" w14:textId="67C93564" w:rsidR="002363EE" w:rsidRPr="000971C5" w:rsidRDefault="00C734B4">
      <w:pPr>
        <w:spacing w:after="60"/>
        <w:outlineLvl w:val="1"/>
        <w:rPr>
          <w:rFonts w:eastAsia="Times New Roman" w:cs="Arial"/>
          <w:sz w:val="22"/>
          <w:szCs w:val="22"/>
          <w:u w:val="single"/>
        </w:rPr>
      </w:pPr>
      <w:r>
        <w:rPr>
          <w:sz w:val="22"/>
          <w:szCs w:val="22"/>
          <w:u w:val="single"/>
        </w:rPr>
        <w:br w:type="page"/>
      </w:r>
      <w:r w:rsidR="00D75E2A">
        <w:rPr>
          <w:b/>
          <w:bCs/>
          <w:noProof/>
          <w:sz w:val="22"/>
          <w:szCs w:val="22"/>
          <w:u w:val="single"/>
          <w:lang w:eastAsia="en-IE"/>
        </w:rPr>
        <w:drawing>
          <wp:anchor distT="0" distB="0" distL="114300" distR="114300" simplePos="0" relativeHeight="251667456" behindDoc="1" locked="0" layoutInCell="1" allowOverlap="1" wp14:anchorId="25E647C2" wp14:editId="3A0E4AD6">
            <wp:simplePos x="0" y="0"/>
            <wp:positionH relativeFrom="column">
              <wp:posOffset>-849341</wp:posOffset>
            </wp:positionH>
            <wp:positionV relativeFrom="paragraph">
              <wp:posOffset>-900719</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sidR="00D75E2A">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944319" w:rsidRDefault="00944319" w:rsidP="00D75E2A">
                            <w:pPr>
                              <w:pStyle w:val="LABSection"/>
                              <w:rPr>
                                <w:lang w:val="en-GB"/>
                              </w:rPr>
                            </w:pPr>
                            <w:r>
                              <w:rPr>
                                <w:lang w:val="en-GB"/>
                              </w:rPr>
                              <w:t>Contact Us</w:t>
                            </w:r>
                          </w:p>
                          <w:p w14:paraId="1AC9B0C1" w14:textId="77777777" w:rsidR="00944319" w:rsidRPr="00D02FE2" w:rsidRDefault="0094431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944319" w:rsidRPr="00D02FE2" w:rsidRDefault="00944319"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944319" w:rsidRDefault="00944319" w:rsidP="00D75E2A">
                      <w:pPr>
                        <w:pStyle w:val="LABSection"/>
                        <w:rPr>
                          <w:lang w:val="en-GB"/>
                        </w:rPr>
                      </w:pPr>
                      <w:r>
                        <w:rPr>
                          <w:lang w:val="en-GB"/>
                        </w:rPr>
                        <w:t>Contact Us</w:t>
                      </w:r>
                    </w:p>
                    <w:p w14:paraId="1AC9B0C1" w14:textId="77777777" w:rsidR="00944319" w:rsidRPr="00D02FE2" w:rsidRDefault="0094431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944319" w:rsidRPr="00D02FE2" w:rsidRDefault="00944319" w:rsidP="00D75E2A">
                      <w:pPr>
                        <w:pStyle w:val="LABBody10pt"/>
                        <w:rPr>
                          <w:lang w:val="en-GB"/>
                        </w:rPr>
                      </w:pPr>
                    </w:p>
                  </w:txbxContent>
                </v:textbox>
              </v:shape>
            </w:pict>
          </mc:Fallback>
        </mc:AlternateContent>
      </w:r>
    </w:p>
    <w:sectPr w:rsidR="002363EE" w:rsidRPr="000971C5" w:rsidSect="00076D9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944319" w:rsidRDefault="00944319" w:rsidP="00E61996">
      <w:r>
        <w:separator/>
      </w:r>
    </w:p>
  </w:endnote>
  <w:endnote w:type="continuationSeparator" w:id="0">
    <w:p w14:paraId="57328D56" w14:textId="77777777" w:rsidR="00944319" w:rsidRDefault="00944319"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346216"/>
      <w:docPartObj>
        <w:docPartGallery w:val="Page Numbers (Bottom of Page)"/>
        <w:docPartUnique/>
      </w:docPartObj>
    </w:sdtPr>
    <w:sdtEndPr>
      <w:rPr>
        <w:noProof/>
      </w:rPr>
    </w:sdtEndPr>
    <w:sdtContent>
      <w:p w14:paraId="342CF3AB" w14:textId="22A82579" w:rsidR="00944319" w:rsidRDefault="00944319">
        <w:pPr>
          <w:pStyle w:val="Footer"/>
        </w:pPr>
        <w:r>
          <w:fldChar w:fldCharType="begin"/>
        </w:r>
        <w:r>
          <w:instrText xml:space="preserve"> PAGE   \* MERGEFORMAT </w:instrText>
        </w:r>
        <w:r>
          <w:fldChar w:fldCharType="separate"/>
        </w:r>
        <w:r w:rsidR="00CC2D7F">
          <w:rPr>
            <w:noProof/>
          </w:rPr>
          <w:t>1</w:t>
        </w:r>
        <w:r>
          <w:rPr>
            <w:noProof/>
          </w:rPr>
          <w:fldChar w:fldCharType="end"/>
        </w:r>
      </w:p>
    </w:sdtContent>
  </w:sdt>
  <w:p w14:paraId="71708B19" w14:textId="77777777" w:rsidR="00944319" w:rsidRDefault="00944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944319" w:rsidRDefault="00944319" w:rsidP="00E61996">
      <w:r>
        <w:separator/>
      </w:r>
    </w:p>
  </w:footnote>
  <w:footnote w:type="continuationSeparator" w:id="0">
    <w:p w14:paraId="4A62BF32" w14:textId="77777777" w:rsidR="00944319" w:rsidRDefault="00944319"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0444F0"/>
    <w:multiLevelType w:val="hybridMultilevel"/>
    <w:tmpl w:val="2BBEA08C"/>
    <w:lvl w:ilvl="0" w:tplc="AA4EF63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04831E9"/>
    <w:multiLevelType w:val="hybridMultilevel"/>
    <w:tmpl w:val="29D672D6"/>
    <w:lvl w:ilvl="0" w:tplc="7A4E61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933A2B"/>
    <w:multiLevelType w:val="hybridMultilevel"/>
    <w:tmpl w:val="27FE935C"/>
    <w:lvl w:ilvl="0" w:tplc="D9AA0D3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7"/>
  </w:num>
  <w:num w:numId="4">
    <w:abstractNumId w:val="16"/>
  </w:num>
  <w:num w:numId="5">
    <w:abstractNumId w:val="23"/>
  </w:num>
  <w:num w:numId="6">
    <w:abstractNumId w:val="19"/>
  </w:num>
  <w:num w:numId="7">
    <w:abstractNumId w:val="26"/>
  </w:num>
  <w:num w:numId="8">
    <w:abstractNumId w:val="9"/>
  </w:num>
  <w:num w:numId="9">
    <w:abstractNumId w:val="15"/>
  </w:num>
  <w:num w:numId="10">
    <w:abstractNumId w:val="31"/>
  </w:num>
  <w:num w:numId="11">
    <w:abstractNumId w:val="4"/>
  </w:num>
  <w:num w:numId="12">
    <w:abstractNumId w:val="17"/>
  </w:num>
  <w:num w:numId="13">
    <w:abstractNumId w:val="7"/>
  </w:num>
  <w:num w:numId="14">
    <w:abstractNumId w:val="8"/>
  </w:num>
  <w:num w:numId="15">
    <w:abstractNumId w:val="32"/>
  </w:num>
  <w:num w:numId="16">
    <w:abstractNumId w:val="2"/>
  </w:num>
  <w:num w:numId="17">
    <w:abstractNumId w:val="3"/>
  </w:num>
  <w:num w:numId="18">
    <w:abstractNumId w:val="28"/>
  </w:num>
  <w:num w:numId="19">
    <w:abstractNumId w:val="30"/>
  </w:num>
  <w:num w:numId="20">
    <w:abstractNumId w:val="11"/>
  </w:num>
  <w:num w:numId="21">
    <w:abstractNumId w:val="18"/>
  </w:num>
  <w:num w:numId="22">
    <w:abstractNumId w:val="22"/>
  </w:num>
  <w:num w:numId="23">
    <w:abstractNumId w:val="35"/>
  </w:num>
  <w:num w:numId="24">
    <w:abstractNumId w:val="29"/>
  </w:num>
  <w:num w:numId="25">
    <w:abstractNumId w:val="13"/>
  </w:num>
  <w:num w:numId="26">
    <w:abstractNumId w:val="0"/>
  </w:num>
  <w:num w:numId="27">
    <w:abstractNumId w:val="24"/>
  </w:num>
  <w:num w:numId="28">
    <w:abstractNumId w:val="6"/>
  </w:num>
  <w:num w:numId="29">
    <w:abstractNumId w:val="1"/>
  </w:num>
  <w:num w:numId="30">
    <w:abstractNumId w:val="10"/>
  </w:num>
  <w:num w:numId="31">
    <w:abstractNumId w:val="2"/>
  </w:num>
  <w:num w:numId="32">
    <w:abstractNumId w:val="12"/>
  </w:num>
  <w:num w:numId="33">
    <w:abstractNumId w:val="34"/>
  </w:num>
  <w:num w:numId="34">
    <w:abstractNumId w:val="36"/>
  </w:num>
  <w:num w:numId="35">
    <w:abstractNumId w:val="2"/>
  </w:num>
  <w:num w:numId="36">
    <w:abstractNumId w:val="2"/>
  </w:num>
  <w:num w:numId="37">
    <w:abstractNumId w:val="2"/>
  </w:num>
  <w:num w:numId="38">
    <w:abstractNumId w:val="2"/>
  </w:num>
  <w:num w:numId="39">
    <w:abstractNumId w:val="2"/>
  </w:num>
  <w:num w:numId="40">
    <w:abstractNumId w:val="2"/>
  </w:num>
  <w:num w:numId="41">
    <w:abstractNumId w:val="37"/>
  </w:num>
  <w:num w:numId="42">
    <w:abstractNumId w:val="21"/>
  </w:num>
  <w:num w:numId="43">
    <w:abstractNumId w:val="2"/>
  </w:num>
  <w:num w:numId="44">
    <w:abstractNumId w:val="33"/>
  </w:num>
  <w:num w:numId="45">
    <w:abstractNumId w:val="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919"/>
    <w:rsid w:val="000722EA"/>
    <w:rsid w:val="00076D94"/>
    <w:rsid w:val="000971C5"/>
    <w:rsid w:val="000A1875"/>
    <w:rsid w:val="00126E6B"/>
    <w:rsid w:val="00161A12"/>
    <w:rsid w:val="001E5F64"/>
    <w:rsid w:val="001F6D97"/>
    <w:rsid w:val="002009D1"/>
    <w:rsid w:val="00201F41"/>
    <w:rsid w:val="00214EDB"/>
    <w:rsid w:val="00220812"/>
    <w:rsid w:val="002363EE"/>
    <w:rsid w:val="00236D7F"/>
    <w:rsid w:val="00247BA1"/>
    <w:rsid w:val="00275D40"/>
    <w:rsid w:val="00281E40"/>
    <w:rsid w:val="003230B0"/>
    <w:rsid w:val="00341858"/>
    <w:rsid w:val="00352568"/>
    <w:rsid w:val="00365F32"/>
    <w:rsid w:val="00380F79"/>
    <w:rsid w:val="003941A3"/>
    <w:rsid w:val="00395D94"/>
    <w:rsid w:val="003E277A"/>
    <w:rsid w:val="003F2E0F"/>
    <w:rsid w:val="00420A5A"/>
    <w:rsid w:val="0042145E"/>
    <w:rsid w:val="00430A6C"/>
    <w:rsid w:val="004765BC"/>
    <w:rsid w:val="004B2AE2"/>
    <w:rsid w:val="004F14CF"/>
    <w:rsid w:val="00542D77"/>
    <w:rsid w:val="005679C1"/>
    <w:rsid w:val="005D30CA"/>
    <w:rsid w:val="005D7801"/>
    <w:rsid w:val="005E6E4E"/>
    <w:rsid w:val="005F5827"/>
    <w:rsid w:val="00603EF0"/>
    <w:rsid w:val="00613443"/>
    <w:rsid w:val="00675B63"/>
    <w:rsid w:val="006960B5"/>
    <w:rsid w:val="00697594"/>
    <w:rsid w:val="006E33E4"/>
    <w:rsid w:val="006F4414"/>
    <w:rsid w:val="00702634"/>
    <w:rsid w:val="007134C2"/>
    <w:rsid w:val="007533DC"/>
    <w:rsid w:val="00754642"/>
    <w:rsid w:val="00786704"/>
    <w:rsid w:val="00790C44"/>
    <w:rsid w:val="00796EFB"/>
    <w:rsid w:val="007E55F0"/>
    <w:rsid w:val="00815213"/>
    <w:rsid w:val="008522C9"/>
    <w:rsid w:val="00856539"/>
    <w:rsid w:val="00861966"/>
    <w:rsid w:val="008A23DF"/>
    <w:rsid w:val="008E2CFC"/>
    <w:rsid w:val="00914416"/>
    <w:rsid w:val="00944319"/>
    <w:rsid w:val="009445AA"/>
    <w:rsid w:val="0094781E"/>
    <w:rsid w:val="00962AA3"/>
    <w:rsid w:val="00973F10"/>
    <w:rsid w:val="00982549"/>
    <w:rsid w:val="00986BB2"/>
    <w:rsid w:val="009A2874"/>
    <w:rsid w:val="00A738A9"/>
    <w:rsid w:val="00AA0818"/>
    <w:rsid w:val="00AB1845"/>
    <w:rsid w:val="00AC2696"/>
    <w:rsid w:val="00B175BA"/>
    <w:rsid w:val="00B325CF"/>
    <w:rsid w:val="00B34272"/>
    <w:rsid w:val="00B41008"/>
    <w:rsid w:val="00B54D86"/>
    <w:rsid w:val="00BB38D8"/>
    <w:rsid w:val="00BC5FFA"/>
    <w:rsid w:val="00C00E41"/>
    <w:rsid w:val="00C16FCB"/>
    <w:rsid w:val="00C202CA"/>
    <w:rsid w:val="00C5475F"/>
    <w:rsid w:val="00C734B4"/>
    <w:rsid w:val="00C8788D"/>
    <w:rsid w:val="00CA2D14"/>
    <w:rsid w:val="00CC2D7F"/>
    <w:rsid w:val="00CD7AA0"/>
    <w:rsid w:val="00D0056F"/>
    <w:rsid w:val="00D501B8"/>
    <w:rsid w:val="00D75E2A"/>
    <w:rsid w:val="00D81F31"/>
    <w:rsid w:val="00D851E2"/>
    <w:rsid w:val="00D94F2E"/>
    <w:rsid w:val="00D96940"/>
    <w:rsid w:val="00DD2C14"/>
    <w:rsid w:val="00E61996"/>
    <w:rsid w:val="00EA5B97"/>
    <w:rsid w:val="00EE2CCA"/>
    <w:rsid w:val="00EE50C1"/>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footer" Target="footer1.xm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43B4-83FD-4CB8-8F99-766A333F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6B25189A</Template>
  <TotalTime>61</TotalTime>
  <Pages>15</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6</cp:revision>
  <cp:lastPrinted>2021-03-09T14:54:00Z</cp:lastPrinted>
  <dcterms:created xsi:type="dcterms:W3CDTF">2021-03-23T15:43:00Z</dcterms:created>
  <dcterms:modified xsi:type="dcterms:W3CDTF">2021-03-24T16:22:00Z</dcterms:modified>
</cp:coreProperties>
</file>