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F9" w:rsidRPr="009217A5" w:rsidRDefault="00610EF9" w:rsidP="00610EF9">
      <w:pPr>
        <w:autoSpaceDE w:val="0"/>
        <w:autoSpaceDN w:val="0"/>
        <w:adjustRightInd w:val="0"/>
        <w:rPr>
          <w:rFonts w:cs="Arial"/>
          <w:b/>
          <w:bCs/>
          <w:color w:val="292526"/>
        </w:rPr>
      </w:pPr>
      <w:bookmarkStart w:id="0" w:name="_GoBack"/>
      <w:bookmarkEnd w:id="0"/>
      <w:r>
        <w:rPr>
          <w:b/>
          <w:bCs/>
          <w:color w:val="292526"/>
        </w:rPr>
        <w:t>LANKSTINUMAS Nr. 15 - VAIKO GLOBA</w:t>
      </w:r>
    </w:p>
    <w:p w:rsidR="00610EF9" w:rsidRPr="009217A5" w:rsidRDefault="00610EF9" w:rsidP="00610EF9">
      <w:pPr>
        <w:autoSpaceDE w:val="0"/>
        <w:autoSpaceDN w:val="0"/>
        <w:adjustRightInd w:val="0"/>
        <w:rPr>
          <w:rFonts w:cs="Arial"/>
          <w:b/>
          <w:bCs/>
          <w:color w:val="292526"/>
        </w:rPr>
      </w:pPr>
    </w:p>
    <w:p w:rsidR="00610EF9" w:rsidRPr="009217A5" w:rsidRDefault="00610EF9" w:rsidP="00610EF9">
      <w:pPr>
        <w:autoSpaceDE w:val="0"/>
        <w:autoSpaceDN w:val="0"/>
        <w:adjustRightInd w:val="0"/>
        <w:rPr>
          <w:rFonts w:cs="Arial"/>
          <w:b/>
          <w:bCs/>
          <w:color w:val="292526"/>
        </w:rPr>
      </w:pPr>
      <w:r>
        <w:rPr>
          <w:b/>
          <w:bCs/>
          <w:color w:val="292526"/>
        </w:rPr>
        <w:t>Įvadas</w:t>
      </w:r>
    </w:p>
    <w:p w:rsidR="00610EF9" w:rsidRPr="009217A5" w:rsidRDefault="00610EF9" w:rsidP="00610EF9">
      <w:pPr>
        <w:rPr>
          <w:rFonts w:cs="Arial"/>
        </w:rPr>
      </w:pPr>
      <w:r>
        <w:t xml:space="preserve">Šio lankstinuko tikslas - pateikti jums bazinės informacijos apie prašymus teismus, kurie teikiami Vaiko ir šeimos reikalų agentūra („Tusla“) dėl susirūpinimo vaiko globa ar gerove. Lankstinuke taip pat išdėstytos paslaugos, kurias siūlo Teisinės Pagalbos Valdyba, ir nurodyti kiti galbūt jums naudingi bendrieji kontaktai.    Jei jums buvo įteikta ar pranešta apie ‚Tusla“ įteiktą prašymą dėl jūsų vaiko, turite kreiptis į Teisinės Pagalbos Valdyba, kuri gali nukreipti jus į artimiausią teisės centre arba galite peržiūrėti šią informaciją Valdybos tinklapyje: </w:t>
      </w:r>
      <w:hyperlink r:id="rId5" w:history="1">
        <w:r>
          <w:rPr>
            <w:rStyle w:val="Hyperlink"/>
          </w:rPr>
          <w:t>www.legalaidboard.ie</w:t>
        </w:r>
      </w:hyperlink>
      <w:r>
        <w:t xml:space="preserve">. </w:t>
      </w:r>
    </w:p>
    <w:p w:rsidR="00610EF9" w:rsidRPr="009217A5" w:rsidRDefault="00610EF9" w:rsidP="00610EF9">
      <w:pPr>
        <w:rPr>
          <w:rFonts w:cs="Arial"/>
        </w:rPr>
      </w:pPr>
    </w:p>
    <w:p w:rsidR="00610EF9" w:rsidRPr="00320304" w:rsidRDefault="00610EF9" w:rsidP="00610EF9">
      <w:pPr>
        <w:rPr>
          <w:rFonts w:cs="Arial"/>
          <w:b/>
        </w:rPr>
      </w:pPr>
      <w:r>
        <w:rPr>
          <w:b/>
        </w:rPr>
        <w:t>Pradinė informacija</w:t>
      </w:r>
    </w:p>
    <w:p w:rsidR="00610EF9" w:rsidRPr="00320304" w:rsidRDefault="00610EF9" w:rsidP="00610EF9">
      <w:pPr>
        <w:rPr>
          <w:rFonts w:cs="Arial"/>
        </w:rPr>
      </w:pPr>
      <w:r>
        <w:t xml:space="preserve">Teisėje numatyta, kad būtų paisoma geriausių vaikų interesų, kad jis ar ji būtų auklėjami savo šeimoje. Taip pat pripažįstama, kad tam tikromis aplinkybėmis šalis gali netinkamai rūpintis vaiku ar jų sveikatai yra gerovei kyla rizika.   Tomis aplinkybėmis „Tusla“ privalo stebėti vaiko gerovę ir, jei reikia, perimti vaiko globą. Galite pripažinti, kad iškilo problemų ir negalite globoti vaiko šiuo konkrečiu laiku. Tomis aplinkybėmis galite savanoriškai perduoti vaiką „Tusla“ centrui. Galite nutraukti šią priemonę, kada tik panorėsite. Jei „Tusla“ labai susirūpinusi jūsų vaiko gerove ir nenorite perduoti savo vaiko jų globai, galite kreiptis į teismą dėl globos nutarties. Ji taip pat gali teikti prašymą dėl globos nutarties, jei vaikas perduotas savanoriškai globai ir manoma, kad vaikui turi būti taikoma ši globa, o jūs norite susigrąžinti vaiką savo globai.  </w:t>
      </w:r>
    </w:p>
    <w:p w:rsidR="00E7715B" w:rsidRDefault="00E7715B"/>
    <w:p w:rsidR="00610EF9" w:rsidRPr="008B4008" w:rsidRDefault="00610EF9" w:rsidP="00610EF9">
      <w:pPr>
        <w:autoSpaceDE w:val="0"/>
        <w:autoSpaceDN w:val="0"/>
        <w:adjustRightInd w:val="0"/>
        <w:rPr>
          <w:rFonts w:cs="Arial"/>
          <w:b/>
          <w:bCs/>
          <w:color w:val="292526"/>
        </w:rPr>
      </w:pPr>
      <w:r>
        <w:rPr>
          <w:b/>
          <w:bCs/>
          <w:color w:val="292526"/>
        </w:rPr>
        <w:t>Kas yra Globos nutartis?</w:t>
      </w:r>
    </w:p>
    <w:p w:rsidR="00610EF9" w:rsidRPr="009217A5" w:rsidRDefault="00610EF9" w:rsidP="00610EF9">
      <w:pPr>
        <w:autoSpaceDE w:val="0"/>
        <w:autoSpaceDN w:val="0"/>
        <w:adjustRightInd w:val="0"/>
        <w:rPr>
          <w:rFonts w:cs="Arial"/>
          <w:color w:val="292526"/>
        </w:rPr>
      </w:pPr>
      <w:r>
        <w:rPr>
          <w:b/>
          <w:bCs/>
          <w:color w:val="292526"/>
        </w:rPr>
        <w:t xml:space="preserve"> </w:t>
      </w:r>
      <w:r>
        <w:t xml:space="preserve">Globos nutartis yra teisėjo priimta nutartis perduoti vaiką „Tusla“ globai. </w:t>
      </w:r>
    </w:p>
    <w:p w:rsidR="00610EF9" w:rsidRPr="009217A5"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 xml:space="preserve">Kas yra tarpinis globos nutartis ar skubi globos nutartis?   </w:t>
      </w:r>
    </w:p>
    <w:p w:rsidR="00610EF9" w:rsidRPr="00320304" w:rsidRDefault="00610EF9" w:rsidP="00610EF9">
      <w:pPr>
        <w:autoSpaceDE w:val="0"/>
        <w:autoSpaceDN w:val="0"/>
        <w:adjustRightInd w:val="0"/>
        <w:rPr>
          <w:rFonts w:cs="Arial"/>
          <w:color w:val="292526"/>
        </w:rPr>
      </w:pPr>
      <w:r>
        <w:t xml:space="preserve">Tarpinis nutartis nutartis ar skubi globos nutartis - teisėjo priimta nutartis, trumpai perduodanti vaiką „Tusla“ globa. </w:t>
      </w:r>
      <w:r>
        <w:rPr>
          <w:color w:val="292526"/>
        </w:rPr>
        <w:t xml:space="preserve"> Teisėjai gali priimti juos , kai buvo priimtas globos nutartis, bet ji dar neišnagrinėta. Skubi globos nutartis gali būti priimta nepranešant apie prašymą.      </w:t>
      </w:r>
    </w:p>
    <w:p w:rsidR="00610EF9" w:rsidRPr="00CB5391"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Cs/>
          <w:color w:val="292526"/>
        </w:rPr>
      </w:pPr>
      <w:r>
        <w:rPr>
          <w:b/>
          <w:bCs/>
          <w:color w:val="292526"/>
        </w:rPr>
        <w:t xml:space="preserve">Kas gali teikti prašymą dėl globos nutarties ir kur bus nagrinėjamas prašymas? </w:t>
      </w:r>
      <w:r>
        <w:t xml:space="preserve">„Tusla“ visada pradeda teismo procesą dėl globos nutarties ir jis paprastai vykdomas vietiniame apylinkės teisme. </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rPr>
        <w:t xml:space="preserve">Kaip sužinosiu, kad „Tusla“ pradėjo teismo procesą dėl mano vaiko globos? </w:t>
      </w:r>
    </w:p>
    <w:p w:rsidR="00610EF9" w:rsidRPr="008B4008" w:rsidRDefault="00610EF9" w:rsidP="00610EF9">
      <w:pPr>
        <w:autoSpaceDE w:val="0"/>
        <w:autoSpaceDN w:val="0"/>
        <w:adjustRightInd w:val="0"/>
        <w:rPr>
          <w:rFonts w:cs="Arial"/>
          <w:color w:val="292526"/>
        </w:rPr>
      </w:pPr>
      <w:r>
        <w:t>Dauguma atveju, „Tusla“ praneš jums, kad jie ketina inicijuoti teismo procesą.</w:t>
      </w:r>
      <w:r>
        <w:rPr>
          <w:color w:val="292526"/>
        </w:rPr>
        <w:t xml:space="preserve">  </w:t>
      </w:r>
      <w:r>
        <w:t>Priešingu atveju, galite gauti laišką iš „Tusla“ pasamdyto advokato, teikiančios dokumentą, vadinamas pranešimas apie prašymą.</w:t>
      </w:r>
      <w:r>
        <w:rPr>
          <w:color w:val="292526"/>
        </w:rPr>
        <w:t xml:space="preserve">  </w:t>
      </w:r>
      <w:r>
        <w:t>Šiuo pranešimu jums pranešama, kad „Tusla“ kreipsis į teismą dėl vaiko globos.</w:t>
      </w:r>
      <w:r>
        <w:rPr>
          <w:color w:val="292526"/>
        </w:rPr>
        <w:t xml:space="preserve"> Jei taip įvyksta, privalote kuo skubiau kreiptis į advokatą.  </w:t>
      </w:r>
    </w:p>
    <w:p w:rsidR="00610EF9" w:rsidRPr="008B4008" w:rsidRDefault="00610EF9" w:rsidP="00610EF9">
      <w:pPr>
        <w:tabs>
          <w:tab w:val="left" w:pos="13245"/>
        </w:tabs>
        <w:autoSpaceDE w:val="0"/>
        <w:autoSpaceDN w:val="0"/>
        <w:adjustRightInd w:val="0"/>
        <w:rPr>
          <w:rFonts w:cs="Arial"/>
          <w:color w:val="292526"/>
        </w:rPr>
      </w:pPr>
      <w:r>
        <w:rPr>
          <w:color w:val="292526"/>
        </w:rPr>
        <w:tab/>
      </w:r>
    </w:p>
    <w:p w:rsidR="00610EF9" w:rsidRPr="008B4008" w:rsidRDefault="00610EF9" w:rsidP="00610EF9">
      <w:pPr>
        <w:autoSpaceDE w:val="0"/>
        <w:autoSpaceDN w:val="0"/>
        <w:adjustRightInd w:val="0"/>
        <w:rPr>
          <w:rFonts w:cs="Arial"/>
          <w:b/>
          <w:color w:val="292526"/>
        </w:rPr>
      </w:pPr>
      <w:r>
        <w:rPr>
          <w:b/>
          <w:color w:val="292526"/>
        </w:rPr>
        <w:t>Ką daryti, jei gavau prašymą dėl globos nutarties, ir negaliu susimokėti advokatui?</w:t>
      </w:r>
    </w:p>
    <w:p w:rsidR="00610EF9" w:rsidRDefault="00610EF9"/>
    <w:p w:rsidR="00610EF9" w:rsidRDefault="00610EF9" w:rsidP="00610EF9">
      <w:pPr>
        <w:autoSpaceDE w:val="0"/>
        <w:autoSpaceDN w:val="0"/>
        <w:adjustRightInd w:val="0"/>
        <w:rPr>
          <w:rFonts w:cs="Arial"/>
        </w:rPr>
      </w:pPr>
      <w:r>
        <w:t>Privalote nedelsiant kreiptis į savo teisės centrą, kuriame Teisinė Pagalbos Valdybos darbuotojai padės jums užpildyti prašymo formą. Jei esate Dubline, galite atvykti į Teisinės Pagalbos Valdybą, adresu: Chancery Street (Apylinkės teismo būstinė).</w:t>
      </w:r>
    </w:p>
    <w:p w:rsidR="00610EF9" w:rsidRDefault="00610EF9" w:rsidP="00610EF9">
      <w:pPr>
        <w:autoSpaceDE w:val="0"/>
        <w:autoSpaceDN w:val="0"/>
        <w:adjustRightInd w:val="0"/>
        <w:rPr>
          <w:rFonts w:cs="Arial"/>
        </w:rPr>
      </w:pPr>
    </w:p>
    <w:p w:rsidR="00610EF9" w:rsidRPr="00320304" w:rsidRDefault="00610EF9" w:rsidP="00610EF9">
      <w:pPr>
        <w:autoSpaceDE w:val="0"/>
        <w:autoSpaceDN w:val="0"/>
        <w:adjustRightInd w:val="0"/>
        <w:rPr>
          <w:rFonts w:cs="Arial"/>
          <w:color w:val="292526"/>
        </w:rPr>
      </w:pPr>
      <w:r>
        <w:t xml:space="preserve">Jūsų bus paprašyta pateikti duomenis apie savo pajamas ir turtą.  Prašymas bus apdorotas kuo skubiau. Jei numatyta teismo proceso nagrinėjimo data, teisės centras parengs prašymą, kad galėtumėte susitikti su advokatu. </w:t>
      </w:r>
      <w:r>
        <w:rPr>
          <w:color w:val="292526"/>
        </w:rPr>
        <w:t xml:space="preserve">  Jei teismo procesas nepradedamas, jūsų prašymui gali būti suteiktas prioritetas priklausomai nuo aplinkybių, todėl svarbu nedelsiant skambinti teisės centrui, jei jums būtų įteiktas pranešimas apie prašymo „Tusla“.   Jūsų advokatas informuos jus apie jūsų bylą ir taip pat dėl žings</w:t>
      </w:r>
      <w:r w:rsidR="00C82076">
        <w:rPr>
          <w:color w:val="292526"/>
        </w:rPr>
        <w:t xml:space="preserve">nių, kurių galite imtis, kad padidėtų </w:t>
      </w:r>
      <w:r>
        <w:rPr>
          <w:color w:val="292526"/>
        </w:rPr>
        <w:t xml:space="preserve">jūsų galimybės, kad vaikas liktų jūsų globai arba ji būtų grąžinta.    </w:t>
      </w:r>
    </w:p>
    <w:p w:rsidR="00610EF9" w:rsidRPr="00CB5391"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rPr>
      </w:pPr>
      <w:r>
        <w:rPr>
          <w:b/>
        </w:rPr>
        <w:t>Mano vaikas jau perimtas globai.  Kaip galiu kreiptis dėl teisinių paslaugų?</w:t>
      </w:r>
    </w:p>
    <w:p w:rsidR="00610EF9" w:rsidRPr="008B4008" w:rsidRDefault="00610EF9" w:rsidP="00610EF9">
      <w:pPr>
        <w:autoSpaceDE w:val="0"/>
        <w:autoSpaceDN w:val="0"/>
        <w:adjustRightInd w:val="0"/>
        <w:rPr>
          <w:rFonts w:cs="Arial"/>
        </w:rPr>
      </w:pPr>
      <w:r>
        <w:t>Taip, šiuo atveju privalote pristatyti avarinės / tarpinės globos nutarties kopiją su savimi, kai lankotės teisės centre.</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 xml:space="preserve">Ar mano vaiko kitas iš tėvų bus atstovaujamas to pačio advokato? </w:t>
      </w:r>
    </w:p>
    <w:p w:rsidR="00610EF9" w:rsidRPr="008B4008" w:rsidRDefault="00610EF9" w:rsidP="00610EF9">
      <w:pPr>
        <w:autoSpaceDE w:val="0"/>
        <w:autoSpaceDN w:val="0"/>
        <w:adjustRightInd w:val="0"/>
        <w:rPr>
          <w:rFonts w:cs="Arial"/>
          <w:color w:val="292526"/>
        </w:rPr>
      </w:pPr>
      <w:r>
        <w:rPr>
          <w:color w:val="292526"/>
        </w:rPr>
        <w:t xml:space="preserve">Jūsų advokatas įvertins, ar jis ar ji atstovautų jus abu, jei jus tai tenkins.  Dažnai laikoma labiau tinkama, kad jūsų sutuoktinį (-ę) atstovautų skirtingi advokatai. Jei taip būtų, jūsų sutuoktinis (-ė) / partneris (-ė) turės teikti prašymą dėl teisinių paslaugų kitam teisės centrui. </w:t>
      </w: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Kas vyks teismo posėdžio metu?</w:t>
      </w:r>
    </w:p>
    <w:p w:rsidR="00610EF9" w:rsidRPr="008B4008" w:rsidRDefault="00610EF9" w:rsidP="00610EF9">
      <w:pPr>
        <w:autoSpaceDE w:val="0"/>
        <w:autoSpaceDN w:val="0"/>
        <w:adjustRightInd w:val="0"/>
        <w:rPr>
          <w:rFonts w:cs="Arial"/>
          <w:color w:val="292526"/>
        </w:rPr>
      </w:pPr>
      <w:r>
        <w:rPr>
          <w:color w:val="292526"/>
        </w:rPr>
        <w:t>Posėdyje „Tusla“ kreipsis į teismą dėl vaiko globos perėmimo ir pateiks įrodymus, kodėl tai turėtų būti daroma.  „Tusla“ turi įrodyti, kad vaikas patyrė fizinį smurtą, su juo buvo netinkamai elgiamasi, juo buvo nesirūpinama arba jis buvo išnaudojamas seksualiai arba jo sveikatos raidai ar gerovei buvo sukelta ar iškils žala bei rizika. Parodymus teisėjui gali pateikti liudininkai (-ės), pvz.: socialinė darbuotoja(s). Jūs taip pat galėsite teikti parodymus, kaip ir liudininkai (-ės), dalyvaujantys jūsų byloje.</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 xml:space="preserve">Kas yra globėjas teismo proceso metu? </w:t>
      </w:r>
    </w:p>
    <w:p w:rsidR="00610EF9" w:rsidRPr="008B4008" w:rsidRDefault="00610EF9" w:rsidP="00610EF9">
      <w:pPr>
        <w:autoSpaceDE w:val="0"/>
        <w:autoSpaceDN w:val="0"/>
        <w:adjustRightInd w:val="0"/>
        <w:rPr>
          <w:rFonts w:cs="Arial"/>
          <w:color w:val="292526"/>
        </w:rPr>
      </w:pPr>
      <w:r>
        <w:rPr>
          <w:color w:val="292526"/>
        </w:rPr>
        <w:t xml:space="preserve">Kai kuriais atvejais teismas gali skirti a </w:t>
      </w:r>
      <w:r>
        <w:rPr>
          <w:i/>
          <w:color w:val="292526"/>
        </w:rPr>
        <w:t>globėją teismo proceso metu (GAL</w:t>
      </w:r>
      <w:r>
        <w:rPr>
          <w:color w:val="292526"/>
        </w:rPr>
        <w:t xml:space="preserve">) bei teismas taip pat gali skirti advokatą, atstovauti GAL ir (arba) vaiką. </w:t>
      </w:r>
      <w:r>
        <w:rPr>
          <w:i/>
          <w:color w:val="292526"/>
        </w:rPr>
        <w:t xml:space="preserve">Globėjas teismo proceso metu </w:t>
      </w:r>
      <w:r>
        <w:rPr>
          <w:color w:val="292526"/>
        </w:rPr>
        <w:t>informuoja teismą, kad rūpinsis susieto vaiko geriausiais interesais. GAL taip pat informuoja teisėją apie vaiko norus. Norint tai padaryti GAL apklaus vaiką, vaiko šeimą ir kitas organizacijas, kurios pažįsta vaiką ir šeimą. Šios apklausos vaidins lemiamą vaidmenį, siekiant užtikrinti, kad vaiko geriausi interesai būtų pateikti teismui nepriklausomai.</w:t>
      </w:r>
    </w:p>
    <w:p w:rsidR="00610EF9" w:rsidRPr="008B4008" w:rsidRDefault="00610EF9" w:rsidP="00610EF9">
      <w:pPr>
        <w:autoSpaceDE w:val="0"/>
        <w:autoSpaceDN w:val="0"/>
        <w:adjustRightInd w:val="0"/>
        <w:rPr>
          <w:rFonts w:cs="Arial"/>
          <w:color w:val="292526"/>
        </w:rPr>
      </w:pPr>
    </w:p>
    <w:p w:rsidR="00610EF9" w:rsidRPr="00CB5391" w:rsidRDefault="00610EF9" w:rsidP="00610EF9">
      <w:pPr>
        <w:autoSpaceDE w:val="0"/>
        <w:autoSpaceDN w:val="0"/>
        <w:adjustRightInd w:val="0"/>
        <w:rPr>
          <w:rFonts w:cs="Arial"/>
          <w:b/>
          <w:color w:val="292526"/>
        </w:rPr>
      </w:pPr>
      <w:r>
        <w:rPr>
          <w:b/>
          <w:color w:val="292526"/>
        </w:rPr>
        <w:t>Kas priims sprendimą, ar bus priimta globos nutartis?</w:t>
      </w:r>
    </w:p>
    <w:p w:rsidR="00610EF9" w:rsidRPr="009217A5" w:rsidRDefault="00610EF9" w:rsidP="00610EF9">
      <w:pPr>
        <w:autoSpaceDE w:val="0"/>
        <w:autoSpaceDN w:val="0"/>
        <w:adjustRightInd w:val="0"/>
        <w:rPr>
          <w:rFonts w:cs="Arial"/>
          <w:color w:val="292526"/>
        </w:rPr>
      </w:pPr>
      <w:r>
        <w:rPr>
          <w:color w:val="292526"/>
        </w:rPr>
        <w:t xml:space="preserve">Sprendimą priims teisėjas. Gali būti surengtas vienas ar keli teismo posėdžiai, kad byla būtų išnagrinėta visapusiškai, ir teisėjas gali priimti tarpinę (-es) globos nutartis ir pateikti „Tusla“, kol vyksta teismo procesas.   </w:t>
      </w:r>
    </w:p>
    <w:p w:rsidR="00610EF9" w:rsidRPr="00320304" w:rsidRDefault="00610EF9" w:rsidP="00610EF9">
      <w:pPr>
        <w:autoSpaceDE w:val="0"/>
        <w:autoSpaceDN w:val="0"/>
        <w:adjustRightInd w:val="0"/>
        <w:rPr>
          <w:rFonts w:cs="Arial"/>
          <w:color w:val="292526"/>
        </w:rPr>
      </w:pPr>
    </w:p>
    <w:p w:rsidR="00610EF9" w:rsidRPr="009217A5" w:rsidRDefault="00610EF9" w:rsidP="00610EF9">
      <w:pPr>
        <w:autoSpaceDE w:val="0"/>
        <w:autoSpaceDN w:val="0"/>
        <w:adjustRightInd w:val="0"/>
        <w:rPr>
          <w:rFonts w:cs="Arial"/>
          <w:b/>
          <w:color w:val="292526"/>
        </w:rPr>
      </w:pPr>
      <w:r>
        <w:rPr>
          <w:b/>
          <w:color w:val="292526"/>
        </w:rPr>
        <w:t>Jei priimta globos nutartis, kokius sprendimus gali priimti „Tusla“?</w:t>
      </w:r>
    </w:p>
    <w:p w:rsidR="00610EF9" w:rsidRPr="009217A5" w:rsidRDefault="00610EF9" w:rsidP="00610EF9">
      <w:pPr>
        <w:autoSpaceDE w:val="0"/>
        <w:autoSpaceDN w:val="0"/>
        <w:adjustRightInd w:val="0"/>
        <w:rPr>
          <w:rFonts w:cs="Arial"/>
          <w:color w:val="292526"/>
        </w:rPr>
      </w:pPr>
      <w:r>
        <w:rPr>
          <w:color w:val="292526"/>
        </w:rPr>
        <w:t>„Tusla“ gali priimti sprendimus, kad būtų tenkinami vaiko interesai, pvz.: ji gali perduoti vaiką globėjams ar gyvenamajai globai.</w:t>
      </w:r>
    </w:p>
    <w:p w:rsidR="00610EF9" w:rsidRPr="009217A5" w:rsidRDefault="00610EF9" w:rsidP="00610EF9">
      <w:pPr>
        <w:autoSpaceDE w:val="0"/>
        <w:autoSpaceDN w:val="0"/>
        <w:adjustRightInd w:val="0"/>
        <w:rPr>
          <w:rFonts w:cs="Arial"/>
          <w:color w:val="292526"/>
        </w:rPr>
      </w:pPr>
    </w:p>
    <w:p w:rsidR="00610EF9" w:rsidRPr="00320304" w:rsidRDefault="00610EF9" w:rsidP="00610EF9">
      <w:pPr>
        <w:autoSpaceDE w:val="0"/>
        <w:autoSpaceDN w:val="0"/>
        <w:adjustRightInd w:val="0"/>
        <w:rPr>
          <w:rFonts w:cs="Arial"/>
          <w:b/>
          <w:color w:val="292526"/>
        </w:rPr>
      </w:pPr>
      <w:r>
        <w:rPr>
          <w:b/>
          <w:color w:val="292526"/>
        </w:rPr>
        <w:t>Kiek laiko galioja Globos nutartis?</w:t>
      </w:r>
    </w:p>
    <w:p w:rsidR="00610EF9" w:rsidRPr="009217A5" w:rsidRDefault="00610EF9" w:rsidP="00610EF9">
      <w:pPr>
        <w:autoSpaceDE w:val="0"/>
        <w:autoSpaceDN w:val="0"/>
        <w:adjustRightInd w:val="0"/>
        <w:rPr>
          <w:rFonts w:cs="Arial"/>
          <w:color w:val="292526"/>
        </w:rPr>
      </w:pPr>
      <w:r>
        <w:rPr>
          <w:color w:val="292526"/>
        </w:rPr>
        <w:lastRenderedPageBreak/>
        <w:t xml:space="preserve">Globos nutartis gali būti priimtina tokiam terminui, kol vaikas lieka vaiku, t. y. iki vaiko aštuonioliktojo gimtadienio ar trumpesnį terminą, kaip susitariama ar nustato teismas. „Tusla“ gali teikti prašymus dėl nutarčių atnaujinimo. </w:t>
      </w:r>
    </w:p>
    <w:p w:rsidR="00610EF9" w:rsidRPr="00320304" w:rsidRDefault="00610EF9" w:rsidP="00610EF9">
      <w:pPr>
        <w:autoSpaceDE w:val="0"/>
        <w:autoSpaceDN w:val="0"/>
        <w:adjustRightInd w:val="0"/>
        <w:rPr>
          <w:rFonts w:cs="Arial"/>
          <w:b/>
          <w:color w:val="292526"/>
        </w:rPr>
      </w:pPr>
    </w:p>
    <w:p w:rsidR="00610EF9" w:rsidRPr="008B4008" w:rsidRDefault="00610EF9" w:rsidP="00610EF9">
      <w:pPr>
        <w:autoSpaceDE w:val="0"/>
        <w:autoSpaceDN w:val="0"/>
        <w:adjustRightInd w:val="0"/>
        <w:rPr>
          <w:rFonts w:cs="Arial"/>
          <w:b/>
          <w:color w:val="292526"/>
        </w:rPr>
      </w:pPr>
      <w:r>
        <w:rPr>
          <w:b/>
          <w:color w:val="292526"/>
        </w:rPr>
        <w:t>Kas yra Priežiūros nutartis?</w:t>
      </w:r>
    </w:p>
    <w:p w:rsidR="00610EF9" w:rsidRPr="00320304" w:rsidRDefault="00610EF9" w:rsidP="00610EF9">
      <w:pPr>
        <w:autoSpaceDE w:val="0"/>
        <w:autoSpaceDN w:val="0"/>
        <w:adjustRightInd w:val="0"/>
        <w:rPr>
          <w:rFonts w:cs="Arial"/>
          <w:color w:val="292526"/>
        </w:rPr>
      </w:pPr>
      <w:r>
        <w:rPr>
          <w:color w:val="292526"/>
        </w:rPr>
        <w:t>Jei „Tusla“ susirūpinusi dėl vaiko, bet nelaiko, kad reikia priimti Globos nutartį, ji gali teikti prašymą dėl priežiūros nutarties. Tai leidžia „HSE“ specialistams ar paskirtiems asmenims lankyti vaiką ir teikti patarimus vaiko vienam iš tėvų (tėvams) apie rūpinimąsi vaiku.</w:t>
      </w:r>
    </w:p>
    <w:p w:rsidR="00610EF9" w:rsidRPr="00CB5391" w:rsidRDefault="00610EF9" w:rsidP="00610EF9">
      <w:pPr>
        <w:autoSpaceDE w:val="0"/>
        <w:autoSpaceDN w:val="0"/>
        <w:adjustRightInd w:val="0"/>
        <w:rPr>
          <w:rFonts w:cs="Arial"/>
          <w:b/>
          <w:color w:val="292526"/>
        </w:rPr>
      </w:pPr>
    </w:p>
    <w:p w:rsidR="00610EF9" w:rsidRPr="00CB5391" w:rsidRDefault="00610EF9" w:rsidP="00610EF9">
      <w:pPr>
        <w:autoSpaceDE w:val="0"/>
        <w:autoSpaceDN w:val="0"/>
        <w:adjustRightInd w:val="0"/>
        <w:rPr>
          <w:rFonts w:cs="Arial"/>
          <w:b/>
          <w:color w:val="292526"/>
        </w:rPr>
      </w:pPr>
      <w:r>
        <w:rPr>
          <w:b/>
          <w:color w:val="292526"/>
        </w:rPr>
        <w:t>Kaip priimama Globos nutartis?</w:t>
      </w:r>
    </w:p>
    <w:p w:rsidR="00610EF9" w:rsidRPr="00CB5391" w:rsidRDefault="00610EF9" w:rsidP="00610EF9">
      <w:pPr>
        <w:autoSpaceDE w:val="0"/>
        <w:autoSpaceDN w:val="0"/>
        <w:adjustRightInd w:val="0"/>
        <w:rPr>
          <w:rFonts w:cs="Arial"/>
          <w:color w:val="292526"/>
        </w:rPr>
      </w:pPr>
      <w:r>
        <w:rPr>
          <w:color w:val="292526"/>
        </w:rPr>
        <w:t>Kai kurie tėvai gali savanoriškai perduoti vaiką „HSE“ globai. „Tusla“ įpareigota teikti prašymą Apylinkės teismui dėl globos nutarties, kai jis mano, kad vaikui reikia globos, kuri nebūtų teikiama kitu būdu.</w:t>
      </w:r>
    </w:p>
    <w:p w:rsidR="00610EF9" w:rsidRPr="00CB5391"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b/>
          <w:color w:val="292526"/>
        </w:rPr>
      </w:pPr>
      <w:r>
        <w:rPr>
          <w:b/>
          <w:color w:val="292526"/>
        </w:rPr>
        <w:t>Kaip galiu padėti mane atstovaujančiam advokatui?</w:t>
      </w:r>
    </w:p>
    <w:p w:rsidR="00610EF9" w:rsidRPr="008B4008" w:rsidRDefault="00610EF9" w:rsidP="00610EF9">
      <w:pPr>
        <w:autoSpaceDE w:val="0"/>
        <w:autoSpaceDN w:val="0"/>
        <w:adjustRightInd w:val="0"/>
        <w:rPr>
          <w:rFonts w:cs="Arial"/>
          <w:color w:val="292526"/>
        </w:rPr>
      </w:pPr>
      <w:r>
        <w:rPr>
          <w:color w:val="292526"/>
        </w:rPr>
        <w:t xml:space="preserve">Norint tinkamai atstovauti jus teismo procese, jūsų advokatui reikės pateikti tam tikros informacijos.   Tai siekiama užtikrinti, kad jūsų advokatas turėtų visą jam reikiamą informaciją, kad galėtų tinkamai jums atstovauti.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color w:val="292526"/>
        </w:rPr>
      </w:pPr>
      <w:r>
        <w:rPr>
          <w:color w:val="292526"/>
        </w:rPr>
        <w:t xml:space="preserve">Privalote pateikti savo advokatui visus „Tusla“ ar jų advokatų jums išsiųstus raštus ar dokumentus.     Privalote būti pasirengęs susitikti / dalyvauti teismo posėdžiuose ir, jei negalėsite atvykti / dalyvauti pvz.: dėl ligos, privalote kuo skubiau pranešti teisės centrui.   </w:t>
      </w:r>
    </w:p>
    <w:p w:rsidR="00610EF9" w:rsidRPr="008B4008" w:rsidRDefault="00610EF9" w:rsidP="00610EF9">
      <w:pPr>
        <w:autoSpaceDE w:val="0"/>
        <w:autoSpaceDN w:val="0"/>
        <w:adjustRightInd w:val="0"/>
        <w:rPr>
          <w:rFonts w:cs="Arial"/>
          <w:color w:val="292526"/>
        </w:rPr>
      </w:pPr>
    </w:p>
    <w:p w:rsidR="00610EF9" w:rsidRPr="008B4008" w:rsidRDefault="00610EF9" w:rsidP="00610EF9">
      <w:pPr>
        <w:autoSpaceDE w:val="0"/>
        <w:autoSpaceDN w:val="0"/>
        <w:adjustRightInd w:val="0"/>
        <w:rPr>
          <w:rFonts w:cs="Arial"/>
        </w:rPr>
      </w:pPr>
      <w:r>
        <w:t xml:space="preserve">Jūsų advokatas informuos jus raštu apie teismo procesą ir koks gali būti priimtas sprendimas.  Jūsų advokatas gali kreiptis į jūsų šeimos gydytoją, nes jis ar ji gali disponuoti svarbia informacija apie jūsų šeimą, kuri gali būti naudinga. Be to, jei jūsų šeima gali jus paremti, jums leidus, jūsų advokatas gali kreiptis į jūsų šeimos narius.  Jūsų advokatas gali paprašyti jų pateikti parodymų, kurie būtų naudingi teismo proceso metu.  </w:t>
      </w:r>
    </w:p>
    <w:p w:rsidR="00610EF9" w:rsidRPr="008B4008"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Jei bus priimta nutartis, kas bus toliau?</w:t>
      </w:r>
    </w:p>
    <w:p w:rsidR="00610EF9" w:rsidRPr="009217A5" w:rsidRDefault="00610EF9" w:rsidP="00610EF9">
      <w:pPr>
        <w:autoSpaceDE w:val="0"/>
        <w:autoSpaceDN w:val="0"/>
        <w:adjustRightInd w:val="0"/>
        <w:rPr>
          <w:rFonts w:cs="Arial"/>
        </w:rPr>
      </w:pPr>
      <w:r>
        <w:t xml:space="preserve">Jei bus priimta nutartis, jūsų advokatas praneš jums apie sprendimą, teismo nustatytas peržiūros datas, pateiks jums kitą svarbią informaciją.  Jūsų advokatas taip pat aptars su jumis teismo nutartį ar, priešingu atveju, teiks apeliacinį skundą dėl priimto sprendimo kitam teismui, taip pat palaikys ryšius su „Tusla“ dėl bendravimo su taiku ir galimybės teikti prašymą teismui dėl tokio bendravimo, jei nepavyks susitarti su „Tusla“.  </w:t>
      </w:r>
    </w:p>
    <w:p w:rsidR="00610EF9" w:rsidRPr="00320304" w:rsidRDefault="00610EF9" w:rsidP="00610EF9">
      <w:pPr>
        <w:autoSpaceDE w:val="0"/>
        <w:autoSpaceDN w:val="0"/>
        <w:adjustRightInd w:val="0"/>
        <w:rPr>
          <w:rFonts w:cs="Arial"/>
        </w:rPr>
      </w:pPr>
    </w:p>
    <w:p w:rsidR="00610EF9" w:rsidRPr="008B4008" w:rsidRDefault="00610EF9" w:rsidP="00610EF9">
      <w:pPr>
        <w:autoSpaceDE w:val="0"/>
        <w:autoSpaceDN w:val="0"/>
        <w:adjustRightInd w:val="0"/>
        <w:rPr>
          <w:rFonts w:cs="Arial"/>
          <w:b/>
        </w:rPr>
      </w:pPr>
      <w:r>
        <w:rPr>
          <w:b/>
        </w:rPr>
        <w:t>Ar teismas gali priimti kitas nutartis?</w:t>
      </w:r>
    </w:p>
    <w:p w:rsidR="00610EF9" w:rsidRPr="008B4008" w:rsidRDefault="00610EF9" w:rsidP="00610EF9">
      <w:pPr>
        <w:autoSpaceDE w:val="0"/>
        <w:autoSpaceDN w:val="0"/>
        <w:adjustRightInd w:val="0"/>
        <w:rPr>
          <w:rFonts w:cs="Arial"/>
        </w:rPr>
      </w:pPr>
      <w:r>
        <w:t xml:space="preserve">Teismui suteikta veiksmų laisvė priimti įvairias su vaiku sietinas nutartis. Kaip buvo pastebėta ankstesniame skirsnyje, jis gali priimti nutartį dėl bendravimo su vaiku. Teismas taip pat turi galią panaikinti globos nutartį, jei pasikeičia aplinkybės, ir laikoma, kad jūsų vaikas gali ar turi būti grąžintas jums. </w:t>
      </w:r>
    </w:p>
    <w:p w:rsidR="00610EF9" w:rsidRPr="008B4008" w:rsidRDefault="00610EF9" w:rsidP="00610EF9">
      <w:pPr>
        <w:autoSpaceDE w:val="0"/>
        <w:autoSpaceDN w:val="0"/>
        <w:adjustRightInd w:val="0"/>
        <w:rPr>
          <w:rFonts w:cs="Arial"/>
        </w:rPr>
      </w:pPr>
    </w:p>
    <w:p w:rsidR="00610EF9" w:rsidRPr="009217A5" w:rsidRDefault="00610EF9" w:rsidP="00610EF9">
      <w:pPr>
        <w:pStyle w:val="DefaultText"/>
        <w:outlineLvl w:val="1"/>
        <w:rPr>
          <w:rFonts w:cs="Arial"/>
          <w:b/>
          <w:bCs/>
        </w:rPr>
      </w:pPr>
      <w:r>
        <w:rPr>
          <w:b/>
          <w:bCs/>
        </w:rPr>
        <w:t>Buveinė: „Legal Aid Board“ (Teisinės Pagalbos Valdyba), Quay Street, Cahirciveen, Co. Kerry, V23 RD36.</w:t>
      </w:r>
    </w:p>
    <w:p w:rsidR="00610EF9" w:rsidRPr="00320304" w:rsidRDefault="00610EF9" w:rsidP="00610EF9">
      <w:pPr>
        <w:pStyle w:val="DefaultText"/>
        <w:outlineLvl w:val="1"/>
        <w:rPr>
          <w:rFonts w:cs="Arial"/>
          <w:b/>
          <w:bCs/>
        </w:rPr>
      </w:pPr>
      <w:r>
        <w:rPr>
          <w:b/>
          <w:bCs/>
        </w:rPr>
        <w:t>Tel.: (066) 947 1000</w:t>
      </w:r>
    </w:p>
    <w:p w:rsidR="00610EF9" w:rsidRPr="00CB5391" w:rsidRDefault="00610EF9" w:rsidP="00610EF9">
      <w:pPr>
        <w:pStyle w:val="DefaultText"/>
        <w:outlineLvl w:val="1"/>
        <w:rPr>
          <w:rFonts w:cs="Arial"/>
          <w:b/>
          <w:bCs/>
        </w:rPr>
      </w:pPr>
      <w:r>
        <w:rPr>
          <w:b/>
          <w:bCs/>
        </w:rPr>
        <w:t>Faks.: (066) 947 1035</w:t>
      </w:r>
    </w:p>
    <w:p w:rsidR="00610EF9" w:rsidRPr="008B4008" w:rsidRDefault="00610EF9" w:rsidP="00610EF9">
      <w:pPr>
        <w:pStyle w:val="DefaultText"/>
        <w:outlineLvl w:val="1"/>
        <w:rPr>
          <w:rFonts w:cs="Arial"/>
          <w:b/>
          <w:bCs/>
        </w:rPr>
      </w:pPr>
      <w:r>
        <w:rPr>
          <w:b/>
          <w:bCs/>
        </w:rPr>
        <w:lastRenderedPageBreak/>
        <w:t>„LoCall“: 1890 615 200</w:t>
      </w:r>
    </w:p>
    <w:p w:rsidR="00610EF9" w:rsidRPr="008B4008" w:rsidRDefault="00610EF9" w:rsidP="00610EF9">
      <w:pPr>
        <w:rPr>
          <w:rFonts w:cs="Arial"/>
        </w:rPr>
      </w:pPr>
      <w:r>
        <w:rPr>
          <w:b/>
          <w:bCs/>
        </w:rPr>
        <w:t xml:space="preserve">Tinklapis: www.legalaidboard.ie </w:t>
      </w:r>
    </w:p>
    <w:p w:rsidR="00610EF9" w:rsidRDefault="00610EF9" w:rsidP="00610EF9"/>
    <w:p w:rsidR="00610EF9" w:rsidRDefault="00610EF9" w:rsidP="00610EF9"/>
    <w:sectPr w:rsidR="00610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F9"/>
    <w:rsid w:val="00414438"/>
    <w:rsid w:val="004B0D88"/>
    <w:rsid w:val="00610EF9"/>
    <w:rsid w:val="007B3716"/>
    <w:rsid w:val="009F33BA"/>
    <w:rsid w:val="00B90FFD"/>
    <w:rsid w:val="00C82076"/>
    <w:rsid w:val="00E771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F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0EF9"/>
    <w:rPr>
      <w:color w:val="0000FF"/>
      <w:u w:val="single"/>
    </w:rPr>
  </w:style>
  <w:style w:type="paragraph" w:customStyle="1" w:styleId="DefaultText">
    <w:name w:val="Default Text"/>
    <w:basedOn w:val="Normal"/>
    <w:rsid w:val="00610EF9"/>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laidboar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dcterms:created xsi:type="dcterms:W3CDTF">2019-03-13T14:38:00Z</dcterms:created>
  <dcterms:modified xsi:type="dcterms:W3CDTF">2019-03-13T14:38:00Z</dcterms:modified>
</cp:coreProperties>
</file>