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11" w:rsidRPr="00222ECD" w:rsidRDefault="00046C11" w:rsidP="002726BA">
      <w:pPr>
        <w:autoSpaceDE w:val="0"/>
        <w:autoSpaceDN w:val="0"/>
        <w:adjustRightInd w:val="0"/>
        <w:rPr>
          <w:b/>
          <w:bCs/>
        </w:rPr>
      </w:pPr>
      <w:bookmarkStart w:id="0" w:name="_GoBack"/>
      <w:bookmarkEnd w:id="0"/>
      <w:r>
        <w:rPr>
          <w:b/>
          <w:bCs/>
        </w:rPr>
        <w:t xml:space="preserve">LANKSTINUMAS Nr. 6 - BUITINIS SMURTAS </w:t>
      </w:r>
    </w:p>
    <w:p w:rsidR="00B8286B" w:rsidRDefault="00B8286B" w:rsidP="002726BA">
      <w:pPr>
        <w:autoSpaceDE w:val="0"/>
        <w:autoSpaceDN w:val="0"/>
        <w:adjustRightInd w:val="0"/>
        <w:rPr>
          <w:b/>
          <w:bCs/>
        </w:rPr>
      </w:pPr>
    </w:p>
    <w:tbl>
      <w:tblPr>
        <w:tblStyle w:val="TableGrid"/>
        <w:tblW w:w="0" w:type="auto"/>
        <w:tblLook w:val="04A0" w:firstRow="1" w:lastRow="0" w:firstColumn="1" w:lastColumn="0" w:noHBand="0" w:noVBand="1"/>
      </w:tblPr>
      <w:tblGrid>
        <w:gridCol w:w="8856"/>
      </w:tblGrid>
      <w:tr w:rsidR="00941427" w:rsidTr="00941427">
        <w:tc>
          <w:tcPr>
            <w:tcW w:w="8856" w:type="dxa"/>
          </w:tcPr>
          <w:p w:rsidR="00941427" w:rsidRPr="00941427" w:rsidRDefault="00941427" w:rsidP="00941427">
            <w:pPr>
              <w:autoSpaceDE w:val="0"/>
              <w:autoSpaceDN w:val="0"/>
              <w:adjustRightInd w:val="0"/>
              <w:rPr>
                <w:b/>
              </w:rPr>
            </w:pPr>
            <w:r>
              <w:rPr>
                <w:b/>
              </w:rPr>
              <w:t xml:space="preserve">Buitinis smurtas - fizinė, seksualinė, emocinė ar psichologinė prievarta, kuria keliama grėsmė šeimos narių ir tam tikrų žmonių, palaikančių buitinius santykius, saugumui ar gerovei.  </w:t>
            </w:r>
          </w:p>
          <w:p w:rsidR="00941427" w:rsidRDefault="00941427" w:rsidP="002726BA">
            <w:pPr>
              <w:autoSpaceDE w:val="0"/>
              <w:autoSpaceDN w:val="0"/>
              <w:adjustRightInd w:val="0"/>
              <w:rPr>
                <w:b/>
                <w:bCs/>
              </w:rPr>
            </w:pPr>
          </w:p>
          <w:p w:rsidR="00941427" w:rsidRDefault="00941427" w:rsidP="002726BA">
            <w:pPr>
              <w:autoSpaceDE w:val="0"/>
              <w:autoSpaceDN w:val="0"/>
              <w:adjustRightInd w:val="0"/>
              <w:rPr>
                <w:b/>
                <w:bCs/>
              </w:rPr>
            </w:pPr>
            <w:r>
              <w:rPr>
                <w:b/>
                <w:bCs/>
              </w:rPr>
              <w:t>Jei jums ar jūsų vaikams kyla buitinio smurto grėsmė, galite pranešti apie smurtaujanti asmenį „Garda Síochána“ (policijai). Taip pat galite kreiptis į teismą dėl saugumo, apsaugos, nenumatyto uždraudimo, tarpinio uždraudimo ar uždraudimo suteikimo nutarčių.</w:t>
            </w:r>
          </w:p>
          <w:p w:rsidR="00941427" w:rsidRDefault="00941427" w:rsidP="002726BA">
            <w:pPr>
              <w:autoSpaceDE w:val="0"/>
              <w:autoSpaceDN w:val="0"/>
              <w:adjustRightInd w:val="0"/>
              <w:rPr>
                <w:b/>
                <w:bCs/>
              </w:rPr>
            </w:pPr>
          </w:p>
        </w:tc>
      </w:tr>
    </w:tbl>
    <w:p w:rsidR="00941427" w:rsidRDefault="00941427" w:rsidP="002726BA">
      <w:pPr>
        <w:autoSpaceDE w:val="0"/>
        <w:autoSpaceDN w:val="0"/>
        <w:adjustRightInd w:val="0"/>
        <w:rPr>
          <w:b/>
          <w:bCs/>
        </w:rPr>
      </w:pPr>
    </w:p>
    <w:p w:rsidR="00941427" w:rsidRPr="00222ECD" w:rsidRDefault="00941427" w:rsidP="002726BA">
      <w:pPr>
        <w:autoSpaceDE w:val="0"/>
        <w:autoSpaceDN w:val="0"/>
        <w:adjustRightInd w:val="0"/>
        <w:rPr>
          <w:b/>
          <w:bCs/>
        </w:rPr>
      </w:pPr>
    </w:p>
    <w:p w:rsidR="00740C21" w:rsidRPr="00222ECD" w:rsidRDefault="00740C21" w:rsidP="002726BA">
      <w:pPr>
        <w:autoSpaceDE w:val="0"/>
        <w:autoSpaceDN w:val="0"/>
        <w:adjustRightInd w:val="0"/>
        <w:rPr>
          <w:b/>
          <w:bCs/>
        </w:rPr>
      </w:pPr>
      <w:r>
        <w:rPr>
          <w:b/>
          <w:bCs/>
        </w:rPr>
        <w:t>Kas yra „buitinis smurtas“?</w:t>
      </w:r>
    </w:p>
    <w:p w:rsidR="00046C11" w:rsidRPr="00222ECD" w:rsidRDefault="00046C11" w:rsidP="002726BA">
      <w:pPr>
        <w:autoSpaceDE w:val="0"/>
        <w:autoSpaceDN w:val="0"/>
        <w:adjustRightInd w:val="0"/>
      </w:pPr>
      <w:r>
        <w:t>Buitinis smurtas - fizinė, seksualinė, emocinė ar psichologinė prievarta, kuria keliama grėsmė šeimos narių ir tam tikrų žmonių, palaikančių buitinius santykius, saugumui ar gerovei.</w:t>
      </w:r>
    </w:p>
    <w:p w:rsidR="00046C11" w:rsidRPr="00222ECD" w:rsidRDefault="00046C11" w:rsidP="002726BA">
      <w:pPr>
        <w:autoSpaceDE w:val="0"/>
        <w:autoSpaceDN w:val="0"/>
        <w:adjustRightInd w:val="0"/>
      </w:pPr>
    </w:p>
    <w:p w:rsidR="009743C4" w:rsidRPr="00222ECD" w:rsidRDefault="009743C4" w:rsidP="009743C4">
      <w:pPr>
        <w:autoSpaceDE w:val="0"/>
        <w:autoSpaceDN w:val="0"/>
        <w:adjustRightInd w:val="0"/>
        <w:rPr>
          <w:b/>
          <w:bCs/>
        </w:rPr>
      </w:pPr>
      <w:r>
        <w:rPr>
          <w:b/>
          <w:bCs/>
        </w:rPr>
        <w:t>Ar aš ir (arba) mano vaikai gali būti apsaugoti nuo mūsų namuose smurtaujančio asmens</w:t>
      </w:r>
      <w:r>
        <w:t>?</w:t>
      </w:r>
    </w:p>
    <w:p w:rsidR="009743C4" w:rsidRPr="00222ECD" w:rsidRDefault="009743C4" w:rsidP="009743C4">
      <w:pPr>
        <w:autoSpaceDE w:val="0"/>
        <w:autoSpaceDN w:val="0"/>
        <w:adjustRightInd w:val="0"/>
        <w:rPr>
          <w:bCs/>
        </w:rPr>
      </w:pPr>
      <w:r>
        <w:t>Taip, gali:</w:t>
      </w:r>
    </w:p>
    <w:p w:rsidR="009743C4" w:rsidRPr="000E03CD" w:rsidRDefault="009743C4" w:rsidP="009743C4">
      <w:pPr>
        <w:autoSpaceDE w:val="0"/>
        <w:autoSpaceDN w:val="0"/>
        <w:adjustRightInd w:val="0"/>
        <w:rPr>
          <w:bCs/>
        </w:rPr>
      </w:pPr>
      <w:r>
        <w:t>1.  Praneškite apie tai „Gardaí“. Fizinis ir (arba) seksualinis smurtas yra nusikaltimas. „Gardaí“ turi</w:t>
      </w:r>
      <w:r>
        <w:rPr>
          <w:b/>
          <w:bCs/>
        </w:rPr>
        <w:t xml:space="preserve"> teisę sulaikyti ir apkaltinti </w:t>
      </w:r>
      <w:r>
        <w:t>smurtaujantį asmenį.</w:t>
      </w:r>
    </w:p>
    <w:p w:rsidR="00941427" w:rsidRDefault="00941427" w:rsidP="009743C4">
      <w:pPr>
        <w:autoSpaceDE w:val="0"/>
        <w:autoSpaceDN w:val="0"/>
        <w:adjustRightInd w:val="0"/>
        <w:rPr>
          <w:bCs/>
        </w:rPr>
      </w:pPr>
    </w:p>
    <w:p w:rsidR="009743C4" w:rsidRPr="000E03CD" w:rsidRDefault="009743C4" w:rsidP="009743C4">
      <w:pPr>
        <w:autoSpaceDE w:val="0"/>
        <w:autoSpaceDN w:val="0"/>
        <w:adjustRightInd w:val="0"/>
        <w:rPr>
          <w:b/>
        </w:rPr>
      </w:pPr>
      <w:r>
        <w:t xml:space="preserve">2.  Kreipkitės į teismą dėl atitinkamos nutarties remiantis buitinio smurto įstatymais. </w:t>
      </w:r>
      <w:r>
        <w:rPr>
          <w:b/>
          <w:bCs/>
        </w:rPr>
        <w:t xml:space="preserve"> </w:t>
      </w:r>
      <w:r>
        <w:t xml:space="preserve">Teismas gali priimti apsaugos, draudimo ir (arba) saugumo nutartis prieš sutuoktinį (-ę) ar partnerį (-ę), įskaitant asmenys, kurie negyvena kartu.  Šios nutartys priimamos, kai reikia apsaugoti kito(s) sutuoktinio (-ės) ir (arba) išlaikomų vaikų gerovę ar suteikti jiems apsaugą. </w:t>
      </w:r>
    </w:p>
    <w:p w:rsidR="009743C4" w:rsidRPr="000E03CD" w:rsidRDefault="009743C4" w:rsidP="002726BA">
      <w:pPr>
        <w:autoSpaceDE w:val="0"/>
        <w:autoSpaceDN w:val="0"/>
        <w:adjustRightInd w:val="0"/>
      </w:pPr>
    </w:p>
    <w:p w:rsidR="00740C21" w:rsidRPr="000E03CD" w:rsidRDefault="00740C21" w:rsidP="002726BA">
      <w:pPr>
        <w:autoSpaceDE w:val="0"/>
        <w:autoSpaceDN w:val="0"/>
        <w:adjustRightInd w:val="0"/>
        <w:rPr>
          <w:b/>
        </w:rPr>
      </w:pPr>
      <w:r>
        <w:rPr>
          <w:b/>
        </w:rPr>
        <w:t>Kokia apsauga teikiama pagal buitinio smurto prevencijos įstatymus?</w:t>
      </w:r>
    </w:p>
    <w:p w:rsidR="00466CF7" w:rsidRPr="000E03CD" w:rsidRDefault="00046C11" w:rsidP="002726BA">
      <w:pPr>
        <w:autoSpaceDE w:val="0"/>
        <w:autoSpaceDN w:val="0"/>
        <w:adjustRightInd w:val="0"/>
      </w:pPr>
      <w:r>
        <w:t xml:space="preserve">Teismas gali priimti penkias pagrindines apsaugos nutartis:                                  </w:t>
      </w:r>
    </w:p>
    <w:p w:rsidR="00046C11" w:rsidRPr="000E03CD" w:rsidRDefault="00C16A90" w:rsidP="00EE4DBA">
      <w:pPr>
        <w:numPr>
          <w:ilvl w:val="0"/>
          <w:numId w:val="3"/>
        </w:numPr>
        <w:tabs>
          <w:tab w:val="clear" w:pos="341"/>
          <w:tab w:val="num" w:pos="709"/>
        </w:tabs>
        <w:autoSpaceDE w:val="0"/>
        <w:autoSpaceDN w:val="0"/>
        <w:adjustRightInd w:val="0"/>
        <w:ind w:left="709" w:hanging="283"/>
        <w:rPr>
          <w:b/>
        </w:rPr>
      </w:pPr>
      <w:r>
        <w:rPr>
          <w:b/>
        </w:rPr>
        <w:t xml:space="preserve">Saugumo nutartis - </w:t>
      </w:r>
    </w:p>
    <w:p w:rsidR="00466CF7" w:rsidRPr="000E03CD" w:rsidRDefault="00466CF7" w:rsidP="00EE4DBA">
      <w:pPr>
        <w:tabs>
          <w:tab w:val="num" w:pos="709"/>
        </w:tabs>
        <w:autoSpaceDE w:val="0"/>
        <w:autoSpaceDN w:val="0"/>
        <w:adjustRightInd w:val="0"/>
        <w:ind w:left="709"/>
      </w:pPr>
      <w:r>
        <w:rPr>
          <w:b/>
          <w:bCs/>
        </w:rPr>
        <w:t xml:space="preserve">Saugumo nutartis </w:t>
      </w:r>
      <w:r>
        <w:t xml:space="preserve">draudžia asmeniui naudoti ar grasinti smurtu asmeniui, kurio ir (arba) vaikų apsaugai ji buvo priimta. Saugumo nutartis nereikalauja, kad asmuo paliktų gyvenamąją vietą. Asmenims, kurie nėra susituokę, nebūtina gyventi su asmeniu dabar ar praeityje, kad būtų galima kreiptis dėl saugumo nutarties;  </w:t>
      </w:r>
      <w:r>
        <w:br/>
      </w:r>
    </w:p>
    <w:p w:rsidR="00951F6E" w:rsidRPr="000E03CD" w:rsidRDefault="00C16A90" w:rsidP="00EE4DBA">
      <w:pPr>
        <w:numPr>
          <w:ilvl w:val="0"/>
          <w:numId w:val="3"/>
        </w:numPr>
        <w:tabs>
          <w:tab w:val="clear" w:pos="341"/>
          <w:tab w:val="num" w:pos="709"/>
        </w:tabs>
        <w:autoSpaceDE w:val="0"/>
        <w:autoSpaceDN w:val="0"/>
        <w:adjustRightInd w:val="0"/>
        <w:ind w:left="709" w:hanging="283"/>
        <w:rPr>
          <w:b/>
        </w:rPr>
      </w:pPr>
      <w:r>
        <w:rPr>
          <w:b/>
        </w:rPr>
        <w:t>Apsaugos nutartis</w:t>
      </w:r>
    </w:p>
    <w:p w:rsidR="00046C11" w:rsidRPr="000E03CD" w:rsidRDefault="00046C11" w:rsidP="00EE4DBA">
      <w:pPr>
        <w:tabs>
          <w:tab w:val="num" w:pos="709"/>
        </w:tabs>
        <w:autoSpaceDE w:val="0"/>
        <w:autoSpaceDN w:val="0"/>
        <w:adjustRightInd w:val="0"/>
        <w:ind w:left="709"/>
      </w:pPr>
      <w:r>
        <w:rPr>
          <w:b/>
          <w:bCs/>
        </w:rPr>
        <w:t xml:space="preserve">apsaugos nutartis </w:t>
      </w:r>
      <w:r>
        <w:t>- laikinoji apsaugos nutartis, kurią priima teismas, kai asmuo teikia tokį prašymą dėl saugumo ir (arba) draudimo nutarties. Apsaugos nutartis galioja teismo proceso metu, kai teikiamas prašymas dėl saugumo ir (arba) draudimo nutarčių.  Nebūtina gyventi su asmeniu dabar ar praeityje, kad būtų galima kreiptis dėl apsaugos nutarties;</w:t>
      </w:r>
      <w:r>
        <w:br/>
      </w:r>
    </w:p>
    <w:p w:rsidR="00C7065B" w:rsidRPr="000E03CD" w:rsidRDefault="001C1C5A" w:rsidP="00EE4DBA">
      <w:pPr>
        <w:numPr>
          <w:ilvl w:val="0"/>
          <w:numId w:val="3"/>
        </w:numPr>
        <w:tabs>
          <w:tab w:val="clear" w:pos="341"/>
          <w:tab w:val="num" w:pos="709"/>
        </w:tabs>
        <w:autoSpaceDE w:val="0"/>
        <w:autoSpaceDN w:val="0"/>
        <w:adjustRightInd w:val="0"/>
        <w:ind w:left="709" w:hanging="283"/>
        <w:rPr>
          <w:b/>
        </w:rPr>
      </w:pPr>
      <w:r>
        <w:rPr>
          <w:b/>
        </w:rPr>
        <w:lastRenderedPageBreak/>
        <w:t>Uždraudimo nutartis</w:t>
      </w:r>
    </w:p>
    <w:p w:rsidR="00206C8D" w:rsidRPr="000E03CD" w:rsidRDefault="001C1C5A" w:rsidP="00EE4DBA">
      <w:pPr>
        <w:tabs>
          <w:tab w:val="num" w:pos="709"/>
        </w:tabs>
        <w:autoSpaceDE w:val="0"/>
        <w:autoSpaceDN w:val="0"/>
        <w:adjustRightInd w:val="0"/>
        <w:ind w:left="709"/>
      </w:pPr>
      <w:r>
        <w:rPr>
          <w:b/>
        </w:rPr>
        <w:t>uždraudimo nutartimi</w:t>
      </w:r>
      <w:r>
        <w:t xml:space="preserve"> asmuo, kurio atžvilgiu ji priimama, turi palikti ir laikytis atokiau nuo asmens ir (arba) išlaikomų vaikų namų (gyvenamosios vietos), kuris teikia prašymą;</w:t>
      </w:r>
      <w:r>
        <w:br/>
      </w:r>
    </w:p>
    <w:p w:rsidR="001C1C5A" w:rsidRPr="000E03CD" w:rsidRDefault="001C1C5A" w:rsidP="00EE4DBA">
      <w:pPr>
        <w:numPr>
          <w:ilvl w:val="0"/>
          <w:numId w:val="3"/>
        </w:numPr>
        <w:tabs>
          <w:tab w:val="clear" w:pos="341"/>
          <w:tab w:val="num" w:pos="709"/>
        </w:tabs>
        <w:autoSpaceDE w:val="0"/>
        <w:autoSpaceDN w:val="0"/>
        <w:adjustRightInd w:val="0"/>
        <w:ind w:left="709" w:hanging="283"/>
        <w:rPr>
          <w:b/>
        </w:rPr>
      </w:pPr>
      <w:r>
        <w:rPr>
          <w:b/>
        </w:rPr>
        <w:t>Tarpinė uždraudimo nutartis</w:t>
      </w:r>
    </w:p>
    <w:p w:rsidR="00C23205" w:rsidRDefault="00046C11" w:rsidP="00EE4DBA">
      <w:pPr>
        <w:tabs>
          <w:tab w:val="num" w:pos="709"/>
        </w:tabs>
        <w:autoSpaceDE w:val="0"/>
        <w:autoSpaceDN w:val="0"/>
        <w:adjustRightInd w:val="0"/>
        <w:ind w:left="709"/>
      </w:pPr>
      <w:r>
        <w:rPr>
          <w:b/>
        </w:rPr>
        <w:t>tarpinė uždraudimo nutartis</w:t>
      </w:r>
      <w:r>
        <w:t xml:space="preserve"> - laikinoji uždraudimo nutartis. Ji priimama tik išskirtinėmis aplinkybėmis, neinformuojant asmens, kurio atžvilgiu ji patvirtinta. Kai teismas mano, kad egzistuoja objektyvios priežastys manyti, kad pareiškėjui (-ai) ar jo išlaikomiems vaikams kyla neatidėliotina didelės žalos rizika, tokiu atveju galima priimti šią tarpinę nutartį.   Tarpinė nutartis, teikiama neinformuojant asmens, prieš kurį jį priimama, gali galioti ne ilgiau kaip aštuonias dienas. Iki teismo proceso pabaigos gali būti priimtos kitos nutartys.</w:t>
      </w:r>
      <w:r>
        <w:br/>
      </w:r>
    </w:p>
    <w:p w:rsidR="000769C9" w:rsidRPr="00A024AF" w:rsidRDefault="000769C9" w:rsidP="00A024AF">
      <w:pPr>
        <w:numPr>
          <w:ilvl w:val="0"/>
          <w:numId w:val="3"/>
        </w:numPr>
        <w:tabs>
          <w:tab w:val="clear" w:pos="341"/>
          <w:tab w:val="num" w:pos="709"/>
        </w:tabs>
        <w:autoSpaceDE w:val="0"/>
        <w:autoSpaceDN w:val="0"/>
        <w:adjustRightInd w:val="0"/>
        <w:ind w:left="709" w:hanging="283"/>
        <w:rPr>
          <w:b/>
        </w:rPr>
      </w:pPr>
      <w:r>
        <w:rPr>
          <w:b/>
        </w:rPr>
        <w:t xml:space="preserve">Nenumatyto uždraudimo nutartis </w:t>
      </w:r>
    </w:p>
    <w:p w:rsidR="005775E4" w:rsidRPr="00A024AF" w:rsidRDefault="005775E4" w:rsidP="00A024AF">
      <w:pPr>
        <w:autoSpaceDE w:val="0"/>
        <w:autoSpaceDN w:val="0"/>
        <w:adjustRightInd w:val="0"/>
        <w:ind w:left="709"/>
      </w:pPr>
      <w:r>
        <w:tab/>
        <w:t>Nenumatyto uždraudimo nutartis priimama tam tikromis aplinkybėmis, kai žmonės gyvena kartu ir suaugusių vaikų tėvai, kurie paprastai negalėtų teikti prašymo dėl uždraudimo / tarpinio uždraudimo potvarkių, nes jiems priklauso mažiau nuosavybės teisių gyvenamojoje vietoje, nei asmeniui asmeniu, prieš kurį priimama ši nutartis.  Ji gali būti priimta neinformuojant asmens, prieš kurį jį priimama, galioti ne ilgiau kaip aštuonias dienas.</w:t>
      </w:r>
    </w:p>
    <w:p w:rsidR="005775E4" w:rsidRPr="00A024AF" w:rsidRDefault="005775E4" w:rsidP="00A024AF"/>
    <w:p w:rsidR="005775E4" w:rsidRPr="00772ED2" w:rsidRDefault="005775E4" w:rsidP="005775E4">
      <w:r>
        <w:tab/>
        <w:t xml:space="preserve">Visi potvarkiai apima uždraudimą bendrauti (įskaitant elektroninėmis priemonėmis) su pareiškėju ar išlaikomu asmeniu / vaiku. </w:t>
      </w:r>
    </w:p>
    <w:p w:rsidR="00A024AF" w:rsidRDefault="00A024AF" w:rsidP="002726BA">
      <w:pPr>
        <w:autoSpaceDE w:val="0"/>
        <w:autoSpaceDN w:val="0"/>
        <w:adjustRightInd w:val="0"/>
        <w:rPr>
          <w:b/>
          <w:bCs/>
        </w:rPr>
      </w:pPr>
    </w:p>
    <w:p w:rsidR="006D56C0" w:rsidRPr="000E03CD" w:rsidRDefault="006D56C0" w:rsidP="002726BA">
      <w:pPr>
        <w:autoSpaceDE w:val="0"/>
        <w:autoSpaceDN w:val="0"/>
        <w:adjustRightInd w:val="0"/>
        <w:rPr>
          <w:b/>
          <w:bCs/>
        </w:rPr>
      </w:pPr>
      <w:r>
        <w:rPr>
          <w:b/>
          <w:bCs/>
        </w:rPr>
        <w:t>Kiek laiko gali galioti nutartis ?</w:t>
      </w:r>
    </w:p>
    <w:p w:rsidR="002726BA" w:rsidRPr="000E03CD" w:rsidRDefault="00046C11" w:rsidP="002726BA">
      <w:pPr>
        <w:autoSpaceDE w:val="0"/>
        <w:autoSpaceDN w:val="0"/>
        <w:adjustRightInd w:val="0"/>
      </w:pPr>
      <w:r>
        <w:t>Apylinkės teismas gali priimti:</w:t>
      </w:r>
    </w:p>
    <w:p w:rsidR="006D56C0" w:rsidRPr="000E03CD" w:rsidRDefault="000209B1" w:rsidP="00EE4DBA">
      <w:pPr>
        <w:numPr>
          <w:ilvl w:val="0"/>
          <w:numId w:val="3"/>
        </w:numPr>
        <w:tabs>
          <w:tab w:val="clear" w:pos="341"/>
          <w:tab w:val="num" w:pos="709"/>
        </w:tabs>
        <w:autoSpaceDE w:val="0"/>
        <w:autoSpaceDN w:val="0"/>
        <w:adjustRightInd w:val="0"/>
        <w:ind w:left="709" w:hanging="283"/>
      </w:pPr>
      <w:r>
        <w:rPr>
          <w:b/>
        </w:rPr>
        <w:t xml:space="preserve">saugumo nutartį </w:t>
      </w:r>
      <w:r>
        <w:t>maksimaliai penkerių metų laikotarpiu; ir</w:t>
      </w:r>
    </w:p>
    <w:p w:rsidR="006D56C0" w:rsidRPr="000E03CD" w:rsidRDefault="000209B1" w:rsidP="00EE4DBA">
      <w:pPr>
        <w:numPr>
          <w:ilvl w:val="0"/>
          <w:numId w:val="3"/>
        </w:numPr>
        <w:tabs>
          <w:tab w:val="clear" w:pos="341"/>
          <w:tab w:val="num" w:pos="709"/>
        </w:tabs>
        <w:autoSpaceDE w:val="0"/>
        <w:autoSpaceDN w:val="0"/>
        <w:adjustRightInd w:val="0"/>
        <w:ind w:left="709" w:hanging="283"/>
      </w:pPr>
      <w:r>
        <w:rPr>
          <w:b/>
        </w:rPr>
        <w:t>Uždraudimo nutartį</w:t>
      </w:r>
      <w:r>
        <w:t xml:space="preserve"> iki trijų metų laikotarpiu. </w:t>
      </w:r>
    </w:p>
    <w:p w:rsidR="00046C11" w:rsidRPr="000E03CD" w:rsidRDefault="00046C11" w:rsidP="002726BA">
      <w:pPr>
        <w:autoSpaceDE w:val="0"/>
        <w:autoSpaceDN w:val="0"/>
        <w:adjustRightInd w:val="0"/>
      </w:pPr>
      <w:r>
        <w:t>Šios nutartis gali būti peržiūrimos.</w:t>
      </w:r>
    </w:p>
    <w:p w:rsidR="009A550D" w:rsidRPr="000E03CD" w:rsidRDefault="00B961DB" w:rsidP="002726BA">
      <w:pPr>
        <w:autoSpaceDE w:val="0"/>
        <w:autoSpaceDN w:val="0"/>
        <w:adjustRightInd w:val="0"/>
      </w:pPr>
      <w:r>
        <w:t xml:space="preserve">Apygardos ir Aukštasis teismas gali priimti neterminuotas nutartis. </w:t>
      </w:r>
    </w:p>
    <w:p w:rsidR="00B961DB" w:rsidRPr="000E03CD" w:rsidRDefault="00B961DB" w:rsidP="002726BA">
      <w:pPr>
        <w:autoSpaceDE w:val="0"/>
        <w:autoSpaceDN w:val="0"/>
        <w:adjustRightInd w:val="0"/>
        <w:rPr>
          <w:b/>
        </w:rPr>
      </w:pPr>
    </w:p>
    <w:p w:rsidR="00046C11" w:rsidRPr="000E03CD" w:rsidRDefault="006D56C0" w:rsidP="002726BA">
      <w:pPr>
        <w:autoSpaceDE w:val="0"/>
        <w:autoSpaceDN w:val="0"/>
        <w:adjustRightInd w:val="0"/>
        <w:rPr>
          <w:b/>
          <w:bCs/>
        </w:rPr>
      </w:pPr>
      <w:r>
        <w:rPr>
          <w:b/>
          <w:bCs/>
        </w:rPr>
        <w:t>Kas gali teikti prašymą dėl buitinio smurto prevencijos priemonių?</w:t>
      </w:r>
    </w:p>
    <w:p w:rsidR="00046C11" w:rsidRPr="000E03CD" w:rsidRDefault="00046C11" w:rsidP="002726BA">
      <w:pPr>
        <w:autoSpaceDE w:val="0"/>
        <w:autoSpaceDN w:val="0"/>
        <w:adjustRightInd w:val="0"/>
      </w:pPr>
      <w:r>
        <w:t>Šie asmenys gali teikti prašymus dėl nutarčių pagal buitinio smurto prevencijos įstatymus:-</w:t>
      </w:r>
    </w:p>
    <w:p w:rsidR="00046C11" w:rsidRPr="000E03CD" w:rsidRDefault="00046C11" w:rsidP="00EE4DBA">
      <w:pPr>
        <w:numPr>
          <w:ilvl w:val="0"/>
          <w:numId w:val="3"/>
        </w:numPr>
        <w:tabs>
          <w:tab w:val="clear" w:pos="341"/>
          <w:tab w:val="num" w:pos="709"/>
        </w:tabs>
        <w:autoSpaceDE w:val="0"/>
        <w:autoSpaceDN w:val="0"/>
        <w:adjustRightInd w:val="0"/>
        <w:ind w:left="709" w:hanging="283"/>
      </w:pPr>
      <w:r>
        <w:rPr>
          <w:b/>
        </w:rPr>
        <w:t>sutuoktiniai ir buvę sutuoktiniai</w:t>
      </w:r>
      <w:r>
        <w:t>;</w:t>
      </w:r>
    </w:p>
    <w:p w:rsidR="009B7A80" w:rsidRPr="000E03CD" w:rsidRDefault="009B7A80" w:rsidP="00EE4DBA">
      <w:pPr>
        <w:numPr>
          <w:ilvl w:val="0"/>
          <w:numId w:val="3"/>
        </w:numPr>
        <w:tabs>
          <w:tab w:val="clear" w:pos="341"/>
          <w:tab w:val="num" w:pos="709"/>
        </w:tabs>
        <w:autoSpaceDE w:val="0"/>
        <w:autoSpaceDN w:val="0"/>
        <w:adjustRightInd w:val="0"/>
        <w:ind w:left="709" w:hanging="283"/>
      </w:pPr>
      <w:r>
        <w:rPr>
          <w:b/>
        </w:rPr>
        <w:t>civiliniai partneriai ir buvę civiliniai partneriai</w:t>
      </w:r>
      <w:r>
        <w:t>;</w:t>
      </w:r>
    </w:p>
    <w:p w:rsidR="006103B6" w:rsidRPr="000E03CD" w:rsidRDefault="00046C11" w:rsidP="00EE4DBA">
      <w:pPr>
        <w:numPr>
          <w:ilvl w:val="0"/>
          <w:numId w:val="3"/>
        </w:numPr>
        <w:tabs>
          <w:tab w:val="clear" w:pos="341"/>
          <w:tab w:val="num" w:pos="709"/>
        </w:tabs>
        <w:autoSpaceDE w:val="0"/>
        <w:autoSpaceDN w:val="0"/>
        <w:adjustRightInd w:val="0"/>
        <w:ind w:left="709" w:hanging="283"/>
      </w:pPr>
      <w:r>
        <w:rPr>
          <w:b/>
        </w:rPr>
        <w:t>sugyventiniai</w:t>
      </w:r>
      <w:r>
        <w:t>;</w:t>
      </w:r>
    </w:p>
    <w:p w:rsidR="00B961DB" w:rsidRPr="000E03CD" w:rsidRDefault="00B961DB" w:rsidP="00EE4DBA">
      <w:pPr>
        <w:numPr>
          <w:ilvl w:val="0"/>
          <w:numId w:val="3"/>
        </w:numPr>
        <w:tabs>
          <w:tab w:val="clear" w:pos="341"/>
          <w:tab w:val="num" w:pos="709"/>
        </w:tabs>
        <w:autoSpaceDE w:val="0"/>
        <w:autoSpaceDN w:val="0"/>
        <w:adjustRightInd w:val="0"/>
        <w:ind w:left="709" w:hanging="283"/>
      </w:pPr>
      <w:r>
        <w:t xml:space="preserve">Suaugusių vaikų </w:t>
      </w:r>
      <w:r>
        <w:rPr>
          <w:b/>
        </w:rPr>
        <w:t>tėvai</w:t>
      </w:r>
      <w:r>
        <w:t xml:space="preserve">, kurie siekia, kad tokios nutartys būtų priimtos prieš jų vaikus; </w:t>
      </w:r>
    </w:p>
    <w:p w:rsidR="00932356" w:rsidRDefault="00B961DB" w:rsidP="00EE4DBA">
      <w:pPr>
        <w:numPr>
          <w:ilvl w:val="0"/>
          <w:numId w:val="3"/>
        </w:numPr>
        <w:tabs>
          <w:tab w:val="clear" w:pos="341"/>
          <w:tab w:val="num" w:pos="709"/>
        </w:tabs>
        <w:autoSpaceDE w:val="0"/>
        <w:autoSpaceDN w:val="0"/>
        <w:adjustRightInd w:val="0"/>
        <w:ind w:left="709" w:hanging="283"/>
      </w:pPr>
      <w:r>
        <w:t xml:space="preserve">Kartu gyvenantys ir nebūtinai sutartinius santykius palaikantys </w:t>
      </w:r>
      <w:r>
        <w:rPr>
          <w:b/>
        </w:rPr>
        <w:t>asmenys</w:t>
      </w:r>
      <w:r>
        <w:t xml:space="preserve">; </w:t>
      </w:r>
    </w:p>
    <w:p w:rsidR="00B961DB" w:rsidRPr="000E03CD" w:rsidRDefault="00932356" w:rsidP="00EE4DBA">
      <w:pPr>
        <w:numPr>
          <w:ilvl w:val="0"/>
          <w:numId w:val="3"/>
        </w:numPr>
        <w:tabs>
          <w:tab w:val="clear" w:pos="341"/>
          <w:tab w:val="num" w:pos="709"/>
        </w:tabs>
        <w:autoSpaceDE w:val="0"/>
        <w:autoSpaceDN w:val="0"/>
        <w:adjustRightInd w:val="0"/>
        <w:ind w:left="709" w:hanging="283"/>
      </w:pPr>
      <w:r>
        <w:t xml:space="preserve">santykius palaikantys </w:t>
      </w:r>
      <w:r>
        <w:rPr>
          <w:b/>
        </w:rPr>
        <w:t>asmenys</w:t>
      </w:r>
      <w:r>
        <w:t xml:space="preserve">, kurie negyvena kartu bei </w:t>
      </w:r>
    </w:p>
    <w:p w:rsidR="00464758" w:rsidRPr="000E03CD" w:rsidRDefault="00B961DB" w:rsidP="00EE4DBA">
      <w:pPr>
        <w:numPr>
          <w:ilvl w:val="0"/>
          <w:numId w:val="3"/>
        </w:numPr>
        <w:tabs>
          <w:tab w:val="clear" w:pos="341"/>
          <w:tab w:val="num" w:pos="709"/>
        </w:tabs>
        <w:autoSpaceDE w:val="0"/>
        <w:autoSpaceDN w:val="0"/>
        <w:adjustRightInd w:val="0"/>
        <w:ind w:left="709" w:hanging="283"/>
      </w:pPr>
      <w:r>
        <w:t xml:space="preserve">vaiko vienas iš </w:t>
      </w:r>
      <w:r>
        <w:rPr>
          <w:b/>
        </w:rPr>
        <w:t>tėvų</w:t>
      </w:r>
      <w:r>
        <w:t xml:space="preserve"> pieš kitą jo tėvą (motiną).  </w:t>
      </w:r>
    </w:p>
    <w:p w:rsidR="00CF1B23" w:rsidRPr="000E03CD" w:rsidRDefault="00CF1B23" w:rsidP="00CF1B23">
      <w:pPr>
        <w:autoSpaceDE w:val="0"/>
        <w:autoSpaceDN w:val="0"/>
        <w:adjustRightInd w:val="0"/>
        <w:ind w:left="720"/>
      </w:pPr>
    </w:p>
    <w:p w:rsidR="00831981" w:rsidRPr="000E03CD" w:rsidRDefault="0077438A" w:rsidP="002726BA">
      <w:pPr>
        <w:autoSpaceDE w:val="0"/>
        <w:autoSpaceDN w:val="0"/>
        <w:adjustRightInd w:val="0"/>
        <w:rPr>
          <w:b/>
        </w:rPr>
      </w:pPr>
      <w:r>
        <w:rPr>
          <w:b/>
        </w:rPr>
        <w:t>Kada teismas gali priimti saugumo nutartį sugyventiniams?</w:t>
      </w:r>
    </w:p>
    <w:p w:rsidR="00831981" w:rsidRPr="000E03CD" w:rsidRDefault="00A81D81" w:rsidP="002726BA">
      <w:pPr>
        <w:autoSpaceDE w:val="0"/>
        <w:autoSpaceDN w:val="0"/>
        <w:adjustRightInd w:val="0"/>
      </w:pPr>
      <w:r>
        <w:lastRenderedPageBreak/>
        <w:t>Teismas gali priimti saugumo nutartį (įskaitant apsaugos nutartį), jei šalys gyveno kartu, palaikydamos intymius santykius.</w:t>
      </w:r>
    </w:p>
    <w:p w:rsidR="0077438A" w:rsidRPr="000E03CD" w:rsidRDefault="00046C11" w:rsidP="002726BA">
      <w:pPr>
        <w:autoSpaceDE w:val="0"/>
        <w:autoSpaceDN w:val="0"/>
        <w:adjustRightInd w:val="0"/>
      </w:pPr>
      <w:r>
        <w:t xml:space="preserve"> </w:t>
      </w:r>
    </w:p>
    <w:p w:rsidR="0077438A" w:rsidRPr="000E03CD" w:rsidRDefault="0077438A" w:rsidP="002726BA">
      <w:pPr>
        <w:autoSpaceDE w:val="0"/>
        <w:autoSpaceDN w:val="0"/>
        <w:adjustRightInd w:val="0"/>
        <w:rPr>
          <w:b/>
        </w:rPr>
      </w:pPr>
      <w:r>
        <w:rPr>
          <w:b/>
        </w:rPr>
        <w:t>Kada teismas gali priimti uždraudimo nutartį sugyventiniams?</w:t>
      </w:r>
    </w:p>
    <w:p w:rsidR="00890EAB" w:rsidRDefault="00046C11" w:rsidP="002726BA">
      <w:pPr>
        <w:autoSpaceDE w:val="0"/>
        <w:autoSpaceDN w:val="0"/>
        <w:adjustRightInd w:val="0"/>
      </w:pPr>
      <w:r>
        <w:t>Teismas gali priimti uždraudimo nutartį sugyventiniams, kurie gyvena kartu, palaikydami intymius santykius.</w:t>
      </w:r>
    </w:p>
    <w:p w:rsidR="00890EAB" w:rsidRDefault="00890EAB" w:rsidP="002726BA">
      <w:pPr>
        <w:autoSpaceDE w:val="0"/>
        <w:autoSpaceDN w:val="0"/>
        <w:adjustRightInd w:val="0"/>
      </w:pPr>
    </w:p>
    <w:p w:rsidR="00890EAB" w:rsidRPr="00A024AF" w:rsidRDefault="00890EAB" w:rsidP="00890EAB">
      <w:pPr>
        <w:rPr>
          <w:b/>
        </w:rPr>
      </w:pPr>
      <w:r>
        <w:rPr>
          <w:b/>
        </w:rPr>
        <w:t>Kada teismas gali priimti saugumo ar apsaugos nutartis žmonėms, kurie negyvena kartu?</w:t>
      </w:r>
    </w:p>
    <w:p w:rsidR="00890EAB" w:rsidRPr="00772ED2" w:rsidRDefault="00890EAB" w:rsidP="00890EAB">
      <w:r>
        <w:t>Visi partneriai, palaikantys intymius santykius, turi teisę į saugumo ir apsaugos nutartis ir nebūtinai gyventi kartu.</w:t>
      </w:r>
    </w:p>
    <w:p w:rsidR="00831981" w:rsidRPr="000E03CD" w:rsidRDefault="00831981" w:rsidP="002726BA">
      <w:pPr>
        <w:autoSpaceDE w:val="0"/>
        <w:autoSpaceDN w:val="0"/>
        <w:adjustRightInd w:val="0"/>
      </w:pPr>
    </w:p>
    <w:p w:rsidR="00046C11" w:rsidRPr="000E03CD" w:rsidRDefault="0077438A" w:rsidP="00A024AF">
      <w:pPr>
        <w:autoSpaceDE w:val="0"/>
        <w:autoSpaceDN w:val="0"/>
        <w:adjustRightInd w:val="0"/>
      </w:pPr>
      <w:r>
        <w:rPr>
          <w:b/>
        </w:rPr>
        <w:t xml:space="preserve">Kada uždraudimo nutartis sugyventiniams NEGALI būti priimta? </w:t>
      </w:r>
      <w:r>
        <w:rPr>
          <w:b/>
        </w:rPr>
        <w:br/>
      </w:r>
      <w:r>
        <w:t xml:space="preserve">Uždraudimo nutartis nebus priimta prieš sugyventinį, kuriam priklauso gyvenamoji vieta arba kuriam priklauso daugiau nuosavybės teisių, nei sugyventinis (-ė), teikianti(s) prašymą dėl apsaugos.  </w:t>
      </w:r>
    </w:p>
    <w:p w:rsidR="00B007BE" w:rsidRPr="000E03CD" w:rsidRDefault="00B007BE" w:rsidP="002726BA">
      <w:pPr>
        <w:autoSpaceDE w:val="0"/>
        <w:autoSpaceDN w:val="0"/>
        <w:adjustRightInd w:val="0"/>
      </w:pPr>
    </w:p>
    <w:p w:rsidR="00553918" w:rsidRPr="000E03CD" w:rsidRDefault="00553918" w:rsidP="002726BA">
      <w:pPr>
        <w:autoSpaceDE w:val="0"/>
        <w:autoSpaceDN w:val="0"/>
        <w:adjustRightInd w:val="0"/>
        <w:rPr>
          <w:b/>
        </w:rPr>
      </w:pPr>
      <w:r>
        <w:rPr>
          <w:b/>
        </w:rPr>
        <w:t xml:space="preserve">Ar galiu kreiptis apsaugos nuo suaugusio vaiko? </w:t>
      </w:r>
    </w:p>
    <w:p w:rsidR="00553918" w:rsidRPr="000E03CD" w:rsidRDefault="00553918" w:rsidP="002726BA">
      <w:pPr>
        <w:autoSpaceDE w:val="0"/>
        <w:autoSpaceDN w:val="0"/>
        <w:adjustRightInd w:val="0"/>
      </w:pPr>
      <w:r>
        <w:t>Taip, galite kreiptis dėl saugumo ar uždraudimo nutarties prieš smurtaujantį suaugusį vaiką.</w:t>
      </w:r>
    </w:p>
    <w:p w:rsidR="00553918" w:rsidRPr="000E03CD" w:rsidRDefault="00553918" w:rsidP="002726BA">
      <w:pPr>
        <w:autoSpaceDE w:val="0"/>
        <w:autoSpaceDN w:val="0"/>
        <w:adjustRightInd w:val="0"/>
      </w:pPr>
    </w:p>
    <w:p w:rsidR="000877D5" w:rsidRPr="000E03CD" w:rsidRDefault="000877D5" w:rsidP="002726BA">
      <w:pPr>
        <w:autoSpaceDE w:val="0"/>
        <w:autoSpaceDN w:val="0"/>
        <w:adjustRightInd w:val="0"/>
        <w:rPr>
          <w:b/>
        </w:rPr>
      </w:pPr>
      <w:r>
        <w:rPr>
          <w:b/>
        </w:rPr>
        <w:t xml:space="preserve">Kada teismas NEPRIIMS uždraudimo nutarties prieš vaiką? </w:t>
      </w:r>
    </w:p>
    <w:p w:rsidR="00CF6B72" w:rsidRPr="000E03CD" w:rsidRDefault="002726BA" w:rsidP="002726BA">
      <w:pPr>
        <w:autoSpaceDE w:val="0"/>
        <w:autoSpaceDN w:val="0"/>
        <w:adjustRightInd w:val="0"/>
      </w:pPr>
      <w:r>
        <w:t>Teismas nepriims uždraudimo nutarties prieš vaiką, kuris;</w:t>
      </w:r>
    </w:p>
    <w:p w:rsidR="00464758" w:rsidRPr="000E03CD" w:rsidRDefault="002726BA" w:rsidP="002726BA">
      <w:pPr>
        <w:numPr>
          <w:ilvl w:val="0"/>
          <w:numId w:val="5"/>
        </w:numPr>
        <w:tabs>
          <w:tab w:val="clear" w:pos="720"/>
          <w:tab w:val="num" w:pos="284"/>
        </w:tabs>
        <w:autoSpaceDE w:val="0"/>
        <w:autoSpaceDN w:val="0"/>
        <w:adjustRightInd w:val="0"/>
        <w:ind w:left="284" w:firstLine="0"/>
      </w:pPr>
      <w:r>
        <w:t>yra išlaikytinis;</w:t>
      </w:r>
    </w:p>
    <w:p w:rsidR="00CF6B72" w:rsidRPr="000E03CD" w:rsidRDefault="00046C11" w:rsidP="002726BA">
      <w:pPr>
        <w:numPr>
          <w:ilvl w:val="0"/>
          <w:numId w:val="2"/>
        </w:numPr>
        <w:autoSpaceDE w:val="0"/>
        <w:autoSpaceDN w:val="0"/>
        <w:adjustRightInd w:val="0"/>
        <w:ind w:hanging="436"/>
      </w:pPr>
      <w:r>
        <w:t xml:space="preserve">yra gyvenamosios vietos savininkas; arba </w:t>
      </w:r>
    </w:p>
    <w:p w:rsidR="00046C11" w:rsidRPr="000E03CD" w:rsidRDefault="00046C11" w:rsidP="009D63A2">
      <w:pPr>
        <w:numPr>
          <w:ilvl w:val="0"/>
          <w:numId w:val="2"/>
        </w:numPr>
        <w:autoSpaceDE w:val="0"/>
        <w:autoSpaceDN w:val="0"/>
        <w:adjustRightInd w:val="0"/>
        <w:ind w:hanging="436"/>
      </w:pPr>
      <w:r>
        <w:t>turi daugiau nuosavybės teisių, nei apsaugos reikalaujantys tėvai.</w:t>
      </w:r>
    </w:p>
    <w:p w:rsidR="00046C11" w:rsidRPr="000E03CD" w:rsidRDefault="00046C11" w:rsidP="002726BA">
      <w:pPr>
        <w:autoSpaceDE w:val="0"/>
        <w:autoSpaceDN w:val="0"/>
        <w:adjustRightInd w:val="0"/>
      </w:pPr>
    </w:p>
    <w:p w:rsidR="009D63A2" w:rsidRPr="000E03CD" w:rsidRDefault="009D63A2" w:rsidP="002726BA">
      <w:pPr>
        <w:autoSpaceDE w:val="0"/>
        <w:autoSpaceDN w:val="0"/>
        <w:adjustRightInd w:val="0"/>
        <w:rPr>
          <w:b/>
          <w:bCs/>
        </w:rPr>
      </w:pPr>
      <w:r>
        <w:rPr>
          <w:b/>
          <w:bCs/>
        </w:rPr>
        <w:t>Kada kartu gyvenantys asmenys gali kreiptis dėl apsaugos vienas nuo kito?</w:t>
      </w:r>
    </w:p>
    <w:p w:rsidR="00772073" w:rsidRPr="000E03CD" w:rsidRDefault="002726BA" w:rsidP="002726BA">
      <w:pPr>
        <w:autoSpaceDE w:val="0"/>
        <w:autoSpaceDN w:val="0"/>
        <w:adjustRightInd w:val="0"/>
      </w:pPr>
      <w:r>
        <w:t xml:space="preserve">Kartu tame pačiame name gyvenantys asmenys gali kreiptis apsaugos vienas nuo kito.  Asmuo, prieš kurį teikiamas prašymas dėl apsaugos, turi būti vyresnis nei 18 m. Tačiau, teismas nepriims apsaugos, jei laikoma, kad šiuos asmenis sieja sutartiniai santykiai. </w:t>
      </w:r>
    </w:p>
    <w:p w:rsidR="00C93034" w:rsidRPr="000E03CD" w:rsidRDefault="00C93034" w:rsidP="009D63A2">
      <w:pPr>
        <w:autoSpaceDE w:val="0"/>
        <w:autoSpaceDN w:val="0"/>
        <w:adjustRightInd w:val="0"/>
      </w:pPr>
    </w:p>
    <w:p w:rsidR="009D63A2" w:rsidRPr="000E03CD" w:rsidRDefault="00B961DB" w:rsidP="009D63A2">
      <w:pPr>
        <w:autoSpaceDE w:val="0"/>
        <w:autoSpaceDN w:val="0"/>
        <w:adjustRightInd w:val="0"/>
        <w:rPr>
          <w:b/>
        </w:rPr>
      </w:pPr>
      <w:r>
        <w:rPr>
          <w:b/>
        </w:rPr>
        <w:t xml:space="preserve">Ar išlaikomas vaikas gali teikti prašymą dėl apsaugos? </w:t>
      </w:r>
    </w:p>
    <w:p w:rsidR="0017414D" w:rsidRPr="005D69DB" w:rsidRDefault="00B961DB" w:rsidP="0017414D">
      <w:r>
        <w:t xml:space="preserve">Ne. Dėl apsaugos savo vaiko vardu gali kreiptis tik vienas iš </w:t>
      </w:r>
      <w:r>
        <w:rPr>
          <w:b/>
          <w:bCs/>
        </w:rPr>
        <w:t>tėvų</w:t>
      </w:r>
      <w:r>
        <w:rPr>
          <w:b/>
        </w:rPr>
        <w:t xml:space="preserve">.  </w:t>
      </w:r>
    </w:p>
    <w:p w:rsidR="00A024AF" w:rsidRDefault="00A024AF" w:rsidP="00A024AF"/>
    <w:p w:rsidR="00046C11" w:rsidRPr="00A024AF" w:rsidRDefault="00AF2FC7" w:rsidP="00A024AF">
      <w:pPr>
        <w:rPr>
          <w:color w:val="222222"/>
        </w:rPr>
      </w:pPr>
      <w:r>
        <w:t>Vaiko ir šeimos reikalų agentūra („Tusla“) gali teikti prašymą dėl apsaugos asmens ir (arba) to asmens išlaikomų vaikų vardu tomis aplinkybėmis, kai asmuo negali teikti prašymo pats / pati.</w:t>
      </w:r>
    </w:p>
    <w:p w:rsidR="00046C11" w:rsidRPr="000E03CD" w:rsidRDefault="00046C11" w:rsidP="002726BA">
      <w:pPr>
        <w:autoSpaceDE w:val="0"/>
        <w:autoSpaceDN w:val="0"/>
        <w:adjustRightInd w:val="0"/>
      </w:pPr>
    </w:p>
    <w:p w:rsidR="00046C11" w:rsidRPr="000E03CD" w:rsidRDefault="00395889" w:rsidP="002726BA">
      <w:pPr>
        <w:autoSpaceDE w:val="0"/>
        <w:autoSpaceDN w:val="0"/>
        <w:adjustRightInd w:val="0"/>
        <w:rPr>
          <w:b/>
          <w:bCs/>
        </w:rPr>
      </w:pPr>
      <w:r>
        <w:rPr>
          <w:b/>
          <w:bCs/>
        </w:rPr>
        <w:t>Kas atsitiks, jei asmuo nesilaikys teismo nutarties?</w:t>
      </w:r>
    </w:p>
    <w:p w:rsidR="00046C11" w:rsidRPr="000E03CD" w:rsidRDefault="00046C11" w:rsidP="002726BA">
      <w:pPr>
        <w:autoSpaceDE w:val="0"/>
        <w:autoSpaceDN w:val="0"/>
        <w:adjustRightInd w:val="0"/>
      </w:pPr>
      <w:r>
        <w:t xml:space="preserve">Bet kokios nutarties pagal buitinio smurto prevencijos įstatymus pažeidimas laikomas </w:t>
      </w:r>
      <w:r>
        <w:rPr>
          <w:b/>
        </w:rPr>
        <w:t>baudžiamuoju teisės pažeidimu</w:t>
      </w:r>
      <w:r>
        <w:t>. „Gardaí“ gali sulaikyti ir pateikti kaltinimus asmeniui, pažeidusiam tokią nutartį.</w:t>
      </w:r>
    </w:p>
    <w:p w:rsidR="00BF071F" w:rsidRPr="000E03CD" w:rsidRDefault="00BF071F" w:rsidP="002726BA">
      <w:pPr>
        <w:autoSpaceDE w:val="0"/>
        <w:autoSpaceDN w:val="0"/>
        <w:adjustRightInd w:val="0"/>
        <w:rPr>
          <w:b/>
          <w:bCs/>
        </w:rPr>
      </w:pPr>
    </w:p>
    <w:p w:rsidR="00046C11" w:rsidRPr="000E03CD" w:rsidRDefault="00046C11" w:rsidP="002726BA">
      <w:pPr>
        <w:autoSpaceDE w:val="0"/>
        <w:autoSpaceDN w:val="0"/>
        <w:adjustRightInd w:val="0"/>
        <w:rPr>
          <w:b/>
          <w:bCs/>
        </w:rPr>
      </w:pPr>
      <w:r>
        <w:rPr>
          <w:b/>
          <w:bCs/>
        </w:rPr>
        <w:lastRenderedPageBreak/>
        <w:t>Kiti baudžiamieji teisės pažeidimai</w:t>
      </w:r>
    </w:p>
    <w:p w:rsidR="000541C9" w:rsidRPr="000E03CD" w:rsidRDefault="00046C11" w:rsidP="002726BA">
      <w:pPr>
        <w:autoSpaceDE w:val="0"/>
        <w:autoSpaceDN w:val="0"/>
        <w:adjustRightInd w:val="0"/>
      </w:pPr>
      <w:r>
        <w:t xml:space="preserve">Nepaisant priimtų teismo nutarčių pagal buitinio smurto prevencijos įstatymus, fizinis ir 9arba) seksualinis smurtas laikomas nusikaltimu.  „Gardaí“ turi teisę sulaikyti ir pateikti kaltinimus smurtaujančiam asmeniui. Susituokusių asmenų atveju, teisės pažeidimu laikomas namų ūkio daiktų išnešimas iš šeimos namų, kol vyksta teismo procesas pagal buitinio smurto prevencijos įstatymus.  </w:t>
      </w:r>
    </w:p>
    <w:p w:rsidR="000541C9" w:rsidRPr="000E03CD" w:rsidRDefault="000541C9" w:rsidP="002726BA">
      <w:pPr>
        <w:autoSpaceDE w:val="0"/>
        <w:autoSpaceDN w:val="0"/>
        <w:adjustRightInd w:val="0"/>
      </w:pPr>
    </w:p>
    <w:p w:rsidR="000541C9" w:rsidRPr="000E03CD" w:rsidRDefault="000541C9" w:rsidP="002726BA">
      <w:pPr>
        <w:autoSpaceDE w:val="0"/>
        <w:autoSpaceDN w:val="0"/>
        <w:adjustRightInd w:val="0"/>
        <w:rPr>
          <w:b/>
        </w:rPr>
      </w:pPr>
      <w:r>
        <w:rPr>
          <w:b/>
        </w:rPr>
        <w:t>Be buitinio smurto nutarčių, teismas gali priimti kitas nutartis tuo pačiu metu</w:t>
      </w:r>
    </w:p>
    <w:p w:rsidR="00046C11" w:rsidRDefault="000541C9" w:rsidP="002726BA">
      <w:pPr>
        <w:autoSpaceDE w:val="0"/>
        <w:autoSpaceDN w:val="0"/>
        <w:adjustRightInd w:val="0"/>
      </w:pPr>
      <w:r>
        <w:t>Tuo pačiu metu, kai teismas nagrinėja prašymą dėl nutarčių pagal buitinio smurto įstatymus, jis taip pat gali priimti nutartis dėl išlaikymo, globos ir prieigos, vaiko priežiūros pagal Šeimos namų apsaugos įstatymus. Apskritai, teismai teikia pirmenybę, kad šios nutartys būtų priimamos pagal atskirus prašymus.</w:t>
      </w:r>
    </w:p>
    <w:p w:rsidR="00390054" w:rsidRDefault="00390054" w:rsidP="002726BA">
      <w:pPr>
        <w:autoSpaceDE w:val="0"/>
        <w:autoSpaceDN w:val="0"/>
        <w:adjustRightInd w:val="0"/>
      </w:pPr>
    </w:p>
    <w:p w:rsidR="00390054" w:rsidRDefault="00390054" w:rsidP="002726BA">
      <w:pPr>
        <w:autoSpaceDE w:val="0"/>
        <w:autoSpaceDN w:val="0"/>
        <w:adjustRightInd w:val="0"/>
        <w:rPr>
          <w:b/>
        </w:rPr>
      </w:pPr>
      <w:r>
        <w:rPr>
          <w:b/>
        </w:rPr>
        <w:t>Ar turiu mokėti įmokas už teisinę pagalbą buitinio smurto atvejais?</w:t>
      </w:r>
    </w:p>
    <w:p w:rsidR="00390054" w:rsidRPr="00390054" w:rsidRDefault="00390054" w:rsidP="002726BA">
      <w:pPr>
        <w:autoSpaceDE w:val="0"/>
        <w:autoSpaceDN w:val="0"/>
        <w:adjustRightInd w:val="0"/>
      </w:pPr>
      <w:r>
        <w:t xml:space="preserve">Ne. Kol atitinkate gaunamų pajamų ir kapitalo slenkstinius kriterijus teisinei pagalbai gauti, ir vienintelis jūsų teismui teikiamas prašymas susijęs su buitinio smurto prevencijos priemone, jums nereikia mokėti jokių įmokų už teikiamą teisinę pagalbą.  </w:t>
      </w:r>
    </w:p>
    <w:p w:rsidR="009C7919" w:rsidRPr="000E03CD" w:rsidRDefault="009C7919" w:rsidP="002726BA"/>
    <w:p w:rsidR="000E03CD" w:rsidRPr="0017414D" w:rsidRDefault="009C7919" w:rsidP="000E03CD">
      <w:pPr>
        <w:rPr>
          <w:bCs/>
        </w:rPr>
      </w:pPr>
      <w:r>
        <w:t>Buveinė: „Legal Aid Board“ (Teisinės pagalbos valdyba), Quay Street, Cahirciveen, Co. Kerry, V23 RD36.</w:t>
      </w:r>
    </w:p>
    <w:p w:rsidR="009C7919" w:rsidRPr="00222ECD" w:rsidRDefault="009C7919" w:rsidP="002726BA">
      <w:r>
        <w:t xml:space="preserve">Tel.:  (066) 947 1000    </w:t>
      </w:r>
    </w:p>
    <w:p w:rsidR="009C7919" w:rsidRPr="000E03CD" w:rsidRDefault="009C7919" w:rsidP="002726BA">
      <w:r>
        <w:t>Faks.: (066) 947 1035</w:t>
      </w:r>
    </w:p>
    <w:p w:rsidR="009C7919" w:rsidRPr="000E03CD" w:rsidRDefault="009C7919" w:rsidP="002726BA">
      <w:r>
        <w:t>Vietinis Nr. 1890 615 2000</w:t>
      </w:r>
    </w:p>
    <w:p w:rsidR="009C7919" w:rsidRPr="00222ECD" w:rsidRDefault="009C7919" w:rsidP="002726BA">
      <w:r>
        <w:t xml:space="preserve">Tinklapis: </w:t>
      </w:r>
      <w:hyperlink r:id="rId8" w:history="1">
        <w:r>
          <w:rPr>
            <w:rStyle w:val="Hyperlink"/>
          </w:rPr>
          <w:t>www.legalaidboard.ie</w:t>
        </w:r>
      </w:hyperlink>
    </w:p>
    <w:p w:rsidR="007F7319" w:rsidRPr="002726BA" w:rsidRDefault="007F7319" w:rsidP="002726BA"/>
    <w:sectPr w:rsidR="007F7319" w:rsidRPr="002726BA" w:rsidSect="00046C1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89" w:rsidRDefault="00FE3189">
      <w:r>
        <w:separator/>
      </w:r>
    </w:p>
  </w:endnote>
  <w:endnote w:type="continuationSeparator" w:id="0">
    <w:p w:rsidR="00FE3189" w:rsidRDefault="00FE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89" w:rsidRDefault="00FE3189">
      <w:r>
        <w:separator/>
      </w:r>
    </w:p>
  </w:footnote>
  <w:footnote w:type="continuationSeparator" w:id="0">
    <w:p w:rsidR="00FE3189" w:rsidRDefault="00FE3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A64"/>
    <w:multiLevelType w:val="hybridMultilevel"/>
    <w:tmpl w:val="B2B0AA0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nsid w:val="0BE919A6"/>
    <w:multiLevelType w:val="hybridMultilevel"/>
    <w:tmpl w:val="11589DBE"/>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20A3C76"/>
    <w:multiLevelType w:val="hybridMultilevel"/>
    <w:tmpl w:val="7CE26F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DA179CF"/>
    <w:multiLevelType w:val="hybridMultilevel"/>
    <w:tmpl w:val="958A5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E961F26"/>
    <w:multiLevelType w:val="hybridMultilevel"/>
    <w:tmpl w:val="7BC499B6"/>
    <w:lvl w:ilvl="0" w:tplc="BBE497A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1BA0559"/>
    <w:multiLevelType w:val="hybridMultilevel"/>
    <w:tmpl w:val="C61C9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B0F05E8"/>
    <w:multiLevelType w:val="hybridMultilevel"/>
    <w:tmpl w:val="8F7E56B8"/>
    <w:lvl w:ilvl="0" w:tplc="2B188E3C">
      <w:start w:val="1"/>
      <w:numFmt w:val="bullet"/>
      <w:lvlText w:val=""/>
      <w:lvlJc w:val="left"/>
      <w:pPr>
        <w:tabs>
          <w:tab w:val="num" w:pos="341"/>
        </w:tabs>
        <w:ind w:left="0" w:firstLine="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F5337A3"/>
    <w:multiLevelType w:val="hybridMultilevel"/>
    <w:tmpl w:val="31EEE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89B5F00"/>
    <w:multiLevelType w:val="hybridMultilevel"/>
    <w:tmpl w:val="AA4CC5DA"/>
    <w:lvl w:ilvl="0" w:tplc="84D67252">
      <w:start w:val="1"/>
      <w:numFmt w:val="bullet"/>
      <w:lvlText w:val=""/>
      <w:lvlJc w:val="left"/>
      <w:pPr>
        <w:tabs>
          <w:tab w:val="num" w:pos="2340"/>
        </w:tabs>
        <w:ind w:left="1928"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C4402FF"/>
    <w:multiLevelType w:val="hybridMultilevel"/>
    <w:tmpl w:val="558C5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3"/>
  </w:num>
  <w:num w:numId="6">
    <w:abstractNumId w:val="9"/>
  </w:num>
  <w:num w:numId="7">
    <w:abstractNumId w:val="5"/>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11"/>
    <w:rsid w:val="000102E0"/>
    <w:rsid w:val="000209B1"/>
    <w:rsid w:val="00033613"/>
    <w:rsid w:val="00046C11"/>
    <w:rsid w:val="000541C9"/>
    <w:rsid w:val="00055BFD"/>
    <w:rsid w:val="000769C9"/>
    <w:rsid w:val="00082695"/>
    <w:rsid w:val="000877D5"/>
    <w:rsid w:val="000E03CD"/>
    <w:rsid w:val="001127BD"/>
    <w:rsid w:val="00145EE2"/>
    <w:rsid w:val="001606E2"/>
    <w:rsid w:val="00170C4D"/>
    <w:rsid w:val="00173A1F"/>
    <w:rsid w:val="0017414D"/>
    <w:rsid w:val="00177D59"/>
    <w:rsid w:val="00181A1F"/>
    <w:rsid w:val="001B71F6"/>
    <w:rsid w:val="001C1C5A"/>
    <w:rsid w:val="001C1D4E"/>
    <w:rsid w:val="001C570E"/>
    <w:rsid w:val="001F54C7"/>
    <w:rsid w:val="00206C8D"/>
    <w:rsid w:val="00220221"/>
    <w:rsid w:val="00222ECD"/>
    <w:rsid w:val="0022462C"/>
    <w:rsid w:val="00226A7D"/>
    <w:rsid w:val="00232C1A"/>
    <w:rsid w:val="00233D29"/>
    <w:rsid w:val="00246C14"/>
    <w:rsid w:val="00247641"/>
    <w:rsid w:val="002634AA"/>
    <w:rsid w:val="002726BA"/>
    <w:rsid w:val="002A7E34"/>
    <w:rsid w:val="002B066B"/>
    <w:rsid w:val="002C48FD"/>
    <w:rsid w:val="002D2958"/>
    <w:rsid w:val="003320CA"/>
    <w:rsid w:val="00335D74"/>
    <w:rsid w:val="00341AA5"/>
    <w:rsid w:val="003446B1"/>
    <w:rsid w:val="00357F11"/>
    <w:rsid w:val="00361707"/>
    <w:rsid w:val="00390054"/>
    <w:rsid w:val="00395889"/>
    <w:rsid w:val="003A30C2"/>
    <w:rsid w:val="003B250C"/>
    <w:rsid w:val="003C1B6E"/>
    <w:rsid w:val="003C5C69"/>
    <w:rsid w:val="004020C5"/>
    <w:rsid w:val="00416F30"/>
    <w:rsid w:val="004357AF"/>
    <w:rsid w:val="0043796F"/>
    <w:rsid w:val="00440181"/>
    <w:rsid w:val="00464758"/>
    <w:rsid w:val="00466CF7"/>
    <w:rsid w:val="004A70D8"/>
    <w:rsid w:val="004C10AB"/>
    <w:rsid w:val="004E20D7"/>
    <w:rsid w:val="004E3801"/>
    <w:rsid w:val="004E3F33"/>
    <w:rsid w:val="004E40C7"/>
    <w:rsid w:val="004E4D1E"/>
    <w:rsid w:val="004F3825"/>
    <w:rsid w:val="00521701"/>
    <w:rsid w:val="00524D9C"/>
    <w:rsid w:val="00553918"/>
    <w:rsid w:val="005709D4"/>
    <w:rsid w:val="005775E4"/>
    <w:rsid w:val="005938DF"/>
    <w:rsid w:val="005A2819"/>
    <w:rsid w:val="005A34FC"/>
    <w:rsid w:val="005B2C91"/>
    <w:rsid w:val="005B33CB"/>
    <w:rsid w:val="005D1D66"/>
    <w:rsid w:val="005F252C"/>
    <w:rsid w:val="005F4817"/>
    <w:rsid w:val="006103B6"/>
    <w:rsid w:val="00616BFD"/>
    <w:rsid w:val="0064411A"/>
    <w:rsid w:val="006727AE"/>
    <w:rsid w:val="00674274"/>
    <w:rsid w:val="006A2080"/>
    <w:rsid w:val="006A34AD"/>
    <w:rsid w:val="006D56C0"/>
    <w:rsid w:val="006F157C"/>
    <w:rsid w:val="006F7995"/>
    <w:rsid w:val="00740C21"/>
    <w:rsid w:val="007415F9"/>
    <w:rsid w:val="00751160"/>
    <w:rsid w:val="00772073"/>
    <w:rsid w:val="0077438A"/>
    <w:rsid w:val="0077776A"/>
    <w:rsid w:val="0078263D"/>
    <w:rsid w:val="007878DD"/>
    <w:rsid w:val="00791B40"/>
    <w:rsid w:val="007A5CB2"/>
    <w:rsid w:val="007A7F40"/>
    <w:rsid w:val="007E2384"/>
    <w:rsid w:val="007F7319"/>
    <w:rsid w:val="00831981"/>
    <w:rsid w:val="00835676"/>
    <w:rsid w:val="00853105"/>
    <w:rsid w:val="00857509"/>
    <w:rsid w:val="008575B1"/>
    <w:rsid w:val="00877730"/>
    <w:rsid w:val="00890658"/>
    <w:rsid w:val="00890EAB"/>
    <w:rsid w:val="008B2CA5"/>
    <w:rsid w:val="008E6AA9"/>
    <w:rsid w:val="00925A42"/>
    <w:rsid w:val="00927855"/>
    <w:rsid w:val="009305F6"/>
    <w:rsid w:val="00932356"/>
    <w:rsid w:val="00941427"/>
    <w:rsid w:val="00951F6E"/>
    <w:rsid w:val="0095679F"/>
    <w:rsid w:val="009743C4"/>
    <w:rsid w:val="009A114F"/>
    <w:rsid w:val="009A550D"/>
    <w:rsid w:val="009A6AA3"/>
    <w:rsid w:val="009B7A80"/>
    <w:rsid w:val="009C7919"/>
    <w:rsid w:val="009D2E80"/>
    <w:rsid w:val="009D63A2"/>
    <w:rsid w:val="009E46E4"/>
    <w:rsid w:val="00A024AF"/>
    <w:rsid w:val="00A24413"/>
    <w:rsid w:val="00A43816"/>
    <w:rsid w:val="00A478AA"/>
    <w:rsid w:val="00A81D81"/>
    <w:rsid w:val="00A94540"/>
    <w:rsid w:val="00A94E9F"/>
    <w:rsid w:val="00AB5F10"/>
    <w:rsid w:val="00AF2FC7"/>
    <w:rsid w:val="00AF3763"/>
    <w:rsid w:val="00AF573E"/>
    <w:rsid w:val="00AF6403"/>
    <w:rsid w:val="00B007BE"/>
    <w:rsid w:val="00B25443"/>
    <w:rsid w:val="00B26BCE"/>
    <w:rsid w:val="00B3032F"/>
    <w:rsid w:val="00B8286B"/>
    <w:rsid w:val="00B85B29"/>
    <w:rsid w:val="00B961DB"/>
    <w:rsid w:val="00BB420C"/>
    <w:rsid w:val="00BC0396"/>
    <w:rsid w:val="00BF071F"/>
    <w:rsid w:val="00C16A90"/>
    <w:rsid w:val="00C23205"/>
    <w:rsid w:val="00C23422"/>
    <w:rsid w:val="00C348EC"/>
    <w:rsid w:val="00C7065B"/>
    <w:rsid w:val="00C93034"/>
    <w:rsid w:val="00C956A5"/>
    <w:rsid w:val="00CA3D4F"/>
    <w:rsid w:val="00CA55B2"/>
    <w:rsid w:val="00CA6167"/>
    <w:rsid w:val="00CF1B23"/>
    <w:rsid w:val="00CF6B72"/>
    <w:rsid w:val="00D2130C"/>
    <w:rsid w:val="00D255B1"/>
    <w:rsid w:val="00D4358F"/>
    <w:rsid w:val="00D457CD"/>
    <w:rsid w:val="00D86006"/>
    <w:rsid w:val="00DA089A"/>
    <w:rsid w:val="00DA2437"/>
    <w:rsid w:val="00DF0AC7"/>
    <w:rsid w:val="00DF74E6"/>
    <w:rsid w:val="00E20CA0"/>
    <w:rsid w:val="00E37FA8"/>
    <w:rsid w:val="00E53613"/>
    <w:rsid w:val="00E61193"/>
    <w:rsid w:val="00E73107"/>
    <w:rsid w:val="00EB1B86"/>
    <w:rsid w:val="00EB69D6"/>
    <w:rsid w:val="00EC2EE4"/>
    <w:rsid w:val="00ED1689"/>
    <w:rsid w:val="00ED7D52"/>
    <w:rsid w:val="00EE4DBA"/>
    <w:rsid w:val="00F643F8"/>
    <w:rsid w:val="00F71E37"/>
    <w:rsid w:val="00F95937"/>
    <w:rsid w:val="00FC0ED6"/>
    <w:rsid w:val="00FC79FF"/>
    <w:rsid w:val="00FD7E24"/>
    <w:rsid w:val="00FE3189"/>
    <w:rsid w:val="00FF107D"/>
    <w:rsid w:val="00FF36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292526"/>
        <w:sz w:val="24"/>
        <w:szCs w:val="24"/>
        <w:lang w:val="lt-LT"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EE2"/>
    <w:pPr>
      <w:tabs>
        <w:tab w:val="center" w:pos="4153"/>
        <w:tab w:val="right" w:pos="8306"/>
      </w:tabs>
    </w:pPr>
  </w:style>
  <w:style w:type="paragraph" w:styleId="Footer">
    <w:name w:val="footer"/>
    <w:basedOn w:val="Normal"/>
    <w:rsid w:val="00145EE2"/>
    <w:pPr>
      <w:tabs>
        <w:tab w:val="center" w:pos="4153"/>
        <w:tab w:val="right" w:pos="8306"/>
      </w:tabs>
    </w:pPr>
  </w:style>
  <w:style w:type="paragraph" w:styleId="BalloonText">
    <w:name w:val="Balloon Text"/>
    <w:basedOn w:val="Normal"/>
    <w:semiHidden/>
    <w:rsid w:val="00466CF7"/>
    <w:rPr>
      <w:rFonts w:ascii="Tahoma" w:hAnsi="Tahoma" w:cs="Tahoma"/>
      <w:sz w:val="16"/>
      <w:szCs w:val="16"/>
    </w:rPr>
  </w:style>
  <w:style w:type="character" w:styleId="CommentReference">
    <w:name w:val="annotation reference"/>
    <w:semiHidden/>
    <w:rsid w:val="00B85B29"/>
    <w:rPr>
      <w:sz w:val="16"/>
      <w:szCs w:val="16"/>
    </w:rPr>
  </w:style>
  <w:style w:type="paragraph" w:styleId="CommentText">
    <w:name w:val="annotation text"/>
    <w:basedOn w:val="Normal"/>
    <w:semiHidden/>
    <w:rsid w:val="00B85B29"/>
    <w:rPr>
      <w:sz w:val="20"/>
      <w:szCs w:val="20"/>
    </w:rPr>
  </w:style>
  <w:style w:type="paragraph" w:styleId="CommentSubject">
    <w:name w:val="annotation subject"/>
    <w:basedOn w:val="CommentText"/>
    <w:next w:val="CommentText"/>
    <w:semiHidden/>
    <w:rsid w:val="00B85B29"/>
    <w:rPr>
      <w:b/>
      <w:bCs/>
    </w:rPr>
  </w:style>
  <w:style w:type="character" w:styleId="Hyperlink">
    <w:name w:val="Hyperlink"/>
    <w:rsid w:val="009C7919"/>
    <w:rPr>
      <w:color w:val="0000FF"/>
      <w:u w:val="single"/>
    </w:rPr>
  </w:style>
  <w:style w:type="table" w:styleId="TableGrid">
    <w:name w:val="Table Grid"/>
    <w:basedOn w:val="TableNormal"/>
    <w:rsid w:val="00941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292526"/>
        <w:sz w:val="24"/>
        <w:szCs w:val="24"/>
        <w:lang w:val="lt-LT"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EE2"/>
    <w:pPr>
      <w:tabs>
        <w:tab w:val="center" w:pos="4153"/>
        <w:tab w:val="right" w:pos="8306"/>
      </w:tabs>
    </w:pPr>
  </w:style>
  <w:style w:type="paragraph" w:styleId="Footer">
    <w:name w:val="footer"/>
    <w:basedOn w:val="Normal"/>
    <w:rsid w:val="00145EE2"/>
    <w:pPr>
      <w:tabs>
        <w:tab w:val="center" w:pos="4153"/>
        <w:tab w:val="right" w:pos="8306"/>
      </w:tabs>
    </w:pPr>
  </w:style>
  <w:style w:type="paragraph" w:styleId="BalloonText">
    <w:name w:val="Balloon Text"/>
    <w:basedOn w:val="Normal"/>
    <w:semiHidden/>
    <w:rsid w:val="00466CF7"/>
    <w:rPr>
      <w:rFonts w:ascii="Tahoma" w:hAnsi="Tahoma" w:cs="Tahoma"/>
      <w:sz w:val="16"/>
      <w:szCs w:val="16"/>
    </w:rPr>
  </w:style>
  <w:style w:type="character" w:styleId="CommentReference">
    <w:name w:val="annotation reference"/>
    <w:semiHidden/>
    <w:rsid w:val="00B85B29"/>
    <w:rPr>
      <w:sz w:val="16"/>
      <w:szCs w:val="16"/>
    </w:rPr>
  </w:style>
  <w:style w:type="paragraph" w:styleId="CommentText">
    <w:name w:val="annotation text"/>
    <w:basedOn w:val="Normal"/>
    <w:semiHidden/>
    <w:rsid w:val="00B85B29"/>
    <w:rPr>
      <w:sz w:val="20"/>
      <w:szCs w:val="20"/>
    </w:rPr>
  </w:style>
  <w:style w:type="paragraph" w:styleId="CommentSubject">
    <w:name w:val="annotation subject"/>
    <w:basedOn w:val="CommentText"/>
    <w:next w:val="CommentText"/>
    <w:semiHidden/>
    <w:rsid w:val="00B85B29"/>
    <w:rPr>
      <w:b/>
      <w:bCs/>
    </w:rPr>
  </w:style>
  <w:style w:type="character" w:styleId="Hyperlink">
    <w:name w:val="Hyperlink"/>
    <w:rsid w:val="009C7919"/>
    <w:rPr>
      <w:color w:val="0000FF"/>
      <w:u w:val="single"/>
    </w:rPr>
  </w:style>
  <w:style w:type="table" w:styleId="TableGrid">
    <w:name w:val="Table Grid"/>
    <w:basedOn w:val="TableNormal"/>
    <w:rsid w:val="00941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7884</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2019-03-13T14:30:00Z</dcterms:created>
  <dcterms:modified xsi:type="dcterms:W3CDTF">2019-03-13T14:30:00Z</dcterms:modified>
</cp:coreProperties>
</file>