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7" w:rsidRPr="00EA14A1" w:rsidRDefault="008B49A6" w:rsidP="000A4AC1">
      <w:pPr>
        <w:rPr>
          <w:rFonts w:cs="Arial"/>
          <w:b/>
        </w:rPr>
      </w:pPr>
      <w:bookmarkStart w:id="0" w:name="_GoBack"/>
      <w:bookmarkEnd w:id="0"/>
      <w:r>
        <w:rPr>
          <w:b/>
        </w:rPr>
        <w:t>ULOTKA NR 1 - POMOC PRAWNA W SPRAWACH PRAWA CYWILNEGO</w:t>
      </w:r>
    </w:p>
    <w:p w:rsidR="00A85C55" w:rsidRDefault="00A85C55" w:rsidP="000A4A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5"/>
      </w:tblGrid>
      <w:tr w:rsidR="002C3759" w:rsidTr="002C3759">
        <w:tc>
          <w:tcPr>
            <w:tcW w:w="9075" w:type="dxa"/>
          </w:tcPr>
          <w:p w:rsidR="002C3759" w:rsidRDefault="002C3759" w:rsidP="002C3759">
            <w:pPr>
              <w:rPr>
                <w:rFonts w:cs="Arial"/>
                <w:b/>
              </w:rPr>
            </w:pPr>
            <w:r>
              <w:rPr>
                <w:b/>
              </w:rPr>
              <w:t>Osobom, których nie stać na opłacenie adwokata państwo finansuje i oferuje pomoc prawną i doradztwo w sprawach prawa cywilnego.</w:t>
            </w:r>
          </w:p>
          <w:p w:rsidR="008B56A6" w:rsidRDefault="008B56A6" w:rsidP="002C3759">
            <w:pPr>
              <w:rPr>
                <w:rFonts w:cs="Arial"/>
                <w:b/>
              </w:rPr>
            </w:pPr>
          </w:p>
          <w:p w:rsidR="008B56A6" w:rsidRDefault="008B56A6" w:rsidP="002C3759">
            <w:pPr>
              <w:rPr>
                <w:rFonts w:cs="Arial"/>
                <w:b/>
              </w:rPr>
            </w:pPr>
            <w:r>
              <w:rPr>
                <w:b/>
              </w:rPr>
              <w:t>Aby skorzystać z pomocy i porady prawnej:</w:t>
            </w:r>
          </w:p>
          <w:p w:rsidR="008B56A6" w:rsidRDefault="008B56A6" w:rsidP="002965A4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>
              <w:rPr>
                <w:b/>
              </w:rPr>
              <w:t>problem musi podlegać pomocy prawnej w zakresie prawa cywilnego</w:t>
            </w:r>
          </w:p>
          <w:p w:rsidR="008B56A6" w:rsidRDefault="00746B96" w:rsidP="002965A4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>
              <w:rPr>
                <w:b/>
              </w:rPr>
              <w:t>dochody i majątek muszą być poniżej określonego limitu; uwzględnia się je po uwzględnieniu pewnych potrąceń</w:t>
            </w:r>
          </w:p>
          <w:p w:rsidR="008B56A6" w:rsidRPr="002965A4" w:rsidRDefault="008B56A6" w:rsidP="002965A4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</w:rPr>
            </w:pPr>
            <w:r>
              <w:rPr>
                <w:b/>
              </w:rPr>
              <w:t>aby uzyskać pomoc prawną, dana sprawa będzie musiała spełnić „wymogi merytoryczne.” Głównym celem sprawdzenia wymogów merytorycznych jest skontrolowanie, czy osoba płacąca za prawnika z własnych pieniędzy byłaby skłonna zapłacić za poradę w tej sprawie, oraz czy prawnik przyjąłby sprawę, wiedząc, że dana osoba będzie płacić samodzielnie</w:t>
            </w:r>
          </w:p>
          <w:p w:rsidR="002C3759" w:rsidRDefault="002C3759" w:rsidP="000A4AC1">
            <w:pPr>
              <w:rPr>
                <w:rFonts w:cs="Arial"/>
              </w:rPr>
            </w:pPr>
          </w:p>
        </w:tc>
      </w:tr>
    </w:tbl>
    <w:p w:rsidR="002C3759" w:rsidRDefault="002C3759" w:rsidP="000A4AC1">
      <w:pPr>
        <w:rPr>
          <w:rFonts w:cs="Arial"/>
        </w:rPr>
      </w:pPr>
    </w:p>
    <w:p w:rsidR="002C3759" w:rsidRDefault="00D366CE" w:rsidP="002965A4">
      <w:pPr>
        <w:pStyle w:val="ListParagraph"/>
        <w:numPr>
          <w:ilvl w:val="0"/>
          <w:numId w:val="13"/>
        </w:numPr>
        <w:rPr>
          <w:rFonts w:cs="Arial"/>
          <w:b/>
        </w:rPr>
      </w:pPr>
      <w:r>
        <w:rPr>
          <w:b/>
        </w:rPr>
        <w:t xml:space="preserve">Informacje na temat pomocy prawnej w sprawach prawa cywilnego </w:t>
      </w:r>
    </w:p>
    <w:p w:rsidR="00D366CE" w:rsidRPr="002965A4" w:rsidRDefault="00D366CE" w:rsidP="002965A4">
      <w:pPr>
        <w:ind w:left="360"/>
        <w:rPr>
          <w:rFonts w:cs="Arial"/>
          <w:b/>
        </w:rPr>
      </w:pPr>
    </w:p>
    <w:p w:rsidR="002C3759" w:rsidRDefault="008B56A6" w:rsidP="000A4AC1">
      <w:pPr>
        <w:rPr>
          <w:rFonts w:cs="Arial"/>
          <w:b/>
        </w:rPr>
      </w:pPr>
      <w:r>
        <w:rPr>
          <w:b/>
        </w:rPr>
        <w:t>Czym jest pomoc i porada prawna w sprawie prawa cywilnego?</w:t>
      </w:r>
    </w:p>
    <w:p w:rsidR="002C3759" w:rsidRDefault="008B56A6" w:rsidP="000A4AC1">
      <w:pPr>
        <w:rPr>
          <w:rFonts w:cs="Arial"/>
        </w:rPr>
      </w:pPr>
      <w:r>
        <w:t>Pomoc prawna i doradztwo w sprawach prawa cywilnego to finansowana przez państwo usługa udzielania porad prawnych i pomocy prawnej w sprawach prawa cywilnego dla osób, których nie stać na opłacenie adwokata, świadczona przez Radę ds. pomocy prawnej.</w:t>
      </w:r>
    </w:p>
    <w:p w:rsidR="002C3759" w:rsidRDefault="002C3759" w:rsidP="000A4AC1">
      <w:pPr>
        <w:rPr>
          <w:rFonts w:cs="Arial"/>
        </w:rPr>
      </w:pPr>
    </w:p>
    <w:p w:rsidR="008B56A6" w:rsidRPr="002C3759" w:rsidRDefault="008B56A6" w:rsidP="008B56A6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Czym jest porada prawna?</w:t>
      </w:r>
    </w:p>
    <w:p w:rsidR="008B56A6" w:rsidRPr="00636587" w:rsidRDefault="008B56A6" w:rsidP="008B56A6">
      <w:pPr>
        <w:autoSpaceDE w:val="0"/>
        <w:autoSpaceDN w:val="0"/>
        <w:adjustRightInd w:val="0"/>
        <w:rPr>
          <w:rFonts w:cs="Arial"/>
        </w:rPr>
      </w:pPr>
      <w:r>
        <w:rPr>
          <w:b/>
          <w:bCs/>
        </w:rPr>
        <w:t>Porada prawna</w:t>
      </w:r>
      <w:r>
        <w:t xml:space="preserve"> to wszelkie porady ustne lub pisemne udzielane przez radcę prawnego lub adwokata. Może również obejmować kontakty i negocjacje ze stroną postępowania. Nie obejmuje reprezentacji przed sądem lub sądem wyższej instancji.</w:t>
      </w:r>
    </w:p>
    <w:p w:rsidR="008B56A6" w:rsidRDefault="008B56A6" w:rsidP="000A4AC1">
      <w:pPr>
        <w:rPr>
          <w:rFonts w:cs="Arial"/>
        </w:rPr>
      </w:pPr>
    </w:p>
    <w:p w:rsidR="008B56A6" w:rsidRPr="00636587" w:rsidRDefault="008B56A6" w:rsidP="008B56A6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Czym jest pomoc prawna?</w:t>
      </w:r>
    </w:p>
    <w:p w:rsidR="008B56A6" w:rsidRPr="00636587" w:rsidRDefault="008B56A6" w:rsidP="008B56A6">
      <w:pPr>
        <w:autoSpaceDE w:val="0"/>
        <w:autoSpaceDN w:val="0"/>
        <w:adjustRightInd w:val="0"/>
        <w:rPr>
          <w:rFonts w:cs="Arial"/>
        </w:rPr>
      </w:pPr>
      <w:r>
        <w:rPr>
          <w:b/>
          <w:bCs/>
        </w:rPr>
        <w:t>Pomoc prawna</w:t>
      </w:r>
      <w:r>
        <w:t xml:space="preserve"> to finansowane przez państwo reprezentowanie strony przez radcę prawnego lub adwokata, w postępowaniach sądowych.</w:t>
      </w:r>
    </w:p>
    <w:p w:rsidR="00D366CE" w:rsidRDefault="00D366CE" w:rsidP="000A4AC1">
      <w:pPr>
        <w:rPr>
          <w:rFonts w:cs="Arial"/>
        </w:rPr>
      </w:pPr>
    </w:p>
    <w:p w:rsidR="00D366CE" w:rsidRPr="002965A4" w:rsidRDefault="00D366CE" w:rsidP="002965A4">
      <w:pPr>
        <w:pStyle w:val="ListParagraph"/>
        <w:numPr>
          <w:ilvl w:val="0"/>
          <w:numId w:val="13"/>
        </w:numPr>
        <w:rPr>
          <w:rFonts w:cs="Arial"/>
          <w:b/>
        </w:rPr>
      </w:pPr>
      <w:r>
        <w:rPr>
          <w:b/>
        </w:rPr>
        <w:t>Kto może uzyskać pomoc prawną w sprawach prawa cywilnego?</w:t>
      </w:r>
    </w:p>
    <w:p w:rsidR="008B56A6" w:rsidRPr="00EA14A1" w:rsidRDefault="008B56A6" w:rsidP="000A4AC1">
      <w:pPr>
        <w:rPr>
          <w:rFonts w:cs="Arial"/>
        </w:rPr>
      </w:pPr>
    </w:p>
    <w:p w:rsidR="00B4436A" w:rsidRPr="00EA14A1" w:rsidRDefault="001225E8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Kto może uzyskać pomoc i poradę prawną w sprawach prawa cywilnego?</w:t>
      </w:r>
    </w:p>
    <w:p w:rsidR="008B56A6" w:rsidRDefault="008B56A6" w:rsidP="000A4AC1">
      <w:pPr>
        <w:autoSpaceDE w:val="0"/>
        <w:autoSpaceDN w:val="0"/>
        <w:adjustRightInd w:val="0"/>
        <w:rPr>
          <w:rFonts w:cs="Arial"/>
        </w:rPr>
      </w:pPr>
      <w:r>
        <w:t>Nie każdy może uzyskać pomoc i poradę prawną w sprawach prawa cywilnego. Aby uzyskać pomoc, należy spełnić trzy główne kryteria:</w:t>
      </w:r>
    </w:p>
    <w:p w:rsidR="008B56A6" w:rsidRDefault="008B56A6" w:rsidP="000A4AC1">
      <w:pPr>
        <w:autoSpaceDE w:val="0"/>
        <w:autoSpaceDN w:val="0"/>
        <w:adjustRightInd w:val="0"/>
        <w:rPr>
          <w:rFonts w:cs="Arial"/>
        </w:rPr>
      </w:pPr>
    </w:p>
    <w:p w:rsidR="009F4319" w:rsidRPr="009F4319" w:rsidRDefault="009F4319" w:rsidP="009F4319">
      <w:pPr>
        <w:autoSpaceDE w:val="0"/>
        <w:autoSpaceDN w:val="0"/>
        <w:adjustRightInd w:val="0"/>
        <w:ind w:left="709" w:hanging="709"/>
        <w:rPr>
          <w:rFonts w:cs="Arial"/>
        </w:rPr>
      </w:pPr>
      <w:r>
        <w:t>1.</w:t>
      </w:r>
      <w:r>
        <w:tab/>
        <w:t>problem musi podlegać pomocy prawnej w zakresie prawa cywilnego</w:t>
      </w:r>
    </w:p>
    <w:p w:rsidR="009F4319" w:rsidRPr="009F4319" w:rsidRDefault="009F4319" w:rsidP="009F4319">
      <w:pPr>
        <w:autoSpaceDE w:val="0"/>
        <w:autoSpaceDN w:val="0"/>
        <w:adjustRightInd w:val="0"/>
        <w:ind w:left="709" w:hanging="709"/>
        <w:rPr>
          <w:rFonts w:cs="Arial"/>
        </w:rPr>
      </w:pPr>
      <w:r>
        <w:t>2.</w:t>
      </w:r>
      <w:r>
        <w:tab/>
        <w:t>dochody i majątek muszą być poniżej określonego limitu po uwzględnieniu pewnych potrąceń</w:t>
      </w:r>
    </w:p>
    <w:p w:rsidR="009F4319" w:rsidRPr="009F4319" w:rsidRDefault="009F4319" w:rsidP="009F4319">
      <w:pPr>
        <w:autoSpaceDE w:val="0"/>
        <w:autoSpaceDN w:val="0"/>
        <w:adjustRightInd w:val="0"/>
        <w:ind w:left="709" w:hanging="709"/>
        <w:rPr>
          <w:rFonts w:cs="Arial"/>
        </w:rPr>
      </w:pPr>
      <w:r>
        <w:t>3.</w:t>
      </w:r>
      <w:r>
        <w:tab/>
        <w:t xml:space="preserve">aby uzyskać pomoc prawną, dana sprawa będzie musiała spełnić „wymogi merytoryczne.” Głównym celem sprawdzenia wymogów merytorycznych jest skontrolowanie, czy osoba płacąca za prawnika z własnych pieniędzy byłaby </w:t>
      </w:r>
      <w:r>
        <w:lastRenderedPageBreak/>
        <w:t>skłonna zapłacić za poradę w tej sprawie, oraz czy prawnik przyjąłby sprawę, wiedząc, że dana osoba będzie płacić samodzielnie</w:t>
      </w:r>
    </w:p>
    <w:p w:rsidR="009F4319" w:rsidRDefault="009F4319" w:rsidP="000A4AC1">
      <w:pPr>
        <w:autoSpaceDE w:val="0"/>
        <w:autoSpaceDN w:val="0"/>
        <w:adjustRightInd w:val="0"/>
        <w:rPr>
          <w:rFonts w:cs="Arial"/>
        </w:rPr>
      </w:pPr>
    </w:p>
    <w:p w:rsidR="008B56A6" w:rsidRDefault="008B56A6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Jakie rodzaje problemów są objęte pomocą prawną w sprawach prawa cywilnego?</w:t>
      </w:r>
    </w:p>
    <w:p w:rsidR="008B56A6" w:rsidRDefault="008B56A6" w:rsidP="008B56A6">
      <w:pPr>
        <w:autoSpaceDE w:val="0"/>
        <w:autoSpaceDN w:val="0"/>
        <w:adjustRightInd w:val="0"/>
        <w:rPr>
          <w:rFonts w:cs="Arial"/>
        </w:rPr>
      </w:pPr>
      <w:r>
        <w:t>Prawo cywilne dotyczy problemów, w które zaangażowana jest dana osoba i inne osoby lub organizacje.  Klasyfikujemy spory cywilne jako „rodzinne” lub „niedotyczące rodziny”</w:t>
      </w:r>
    </w:p>
    <w:p w:rsidR="00F05A66" w:rsidRDefault="00F05A66" w:rsidP="008B56A6">
      <w:pPr>
        <w:autoSpaceDE w:val="0"/>
        <w:autoSpaceDN w:val="0"/>
        <w:adjustRightInd w:val="0"/>
        <w:rPr>
          <w:rFonts w:cs="Arial"/>
        </w:rPr>
      </w:pPr>
    </w:p>
    <w:p w:rsidR="00F05A66" w:rsidRDefault="00F05A66" w:rsidP="008B56A6">
      <w:pPr>
        <w:autoSpaceDE w:val="0"/>
        <w:autoSpaceDN w:val="0"/>
        <w:adjustRightInd w:val="0"/>
        <w:rPr>
          <w:rFonts w:cs="Arial"/>
        </w:rPr>
      </w:pPr>
      <w:r>
        <w:t xml:space="preserve">Sprawy </w:t>
      </w:r>
      <w:r>
        <w:rPr>
          <w:b/>
        </w:rPr>
        <w:t>rodzinne</w:t>
      </w:r>
      <w:r>
        <w:t xml:space="preserve"> to: </w:t>
      </w:r>
    </w:p>
    <w:p w:rsidR="006A11AA" w:rsidRPr="006A11AA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>rozpad małżeństwa</w:t>
      </w:r>
    </w:p>
    <w:p w:rsidR="006A11AA" w:rsidRPr="006A11AA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>spory dotyczące dzieci</w:t>
      </w:r>
    </w:p>
    <w:p w:rsidR="00F05A66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>czynności podjęte przez Agencję ds. dzieci i rodziny (Tusla) w celu otoczenia opieką dzieci lub nadzoru dzieci ich w domu</w:t>
      </w:r>
    </w:p>
    <w:p w:rsidR="00F05A66" w:rsidRDefault="00F05A66" w:rsidP="008B56A6">
      <w:pPr>
        <w:autoSpaceDE w:val="0"/>
        <w:autoSpaceDN w:val="0"/>
        <w:adjustRightInd w:val="0"/>
        <w:rPr>
          <w:rFonts w:cs="Arial"/>
        </w:rPr>
      </w:pPr>
      <w:r>
        <w:t xml:space="preserve">Sprawy </w:t>
      </w:r>
      <w:r>
        <w:rPr>
          <w:b/>
        </w:rPr>
        <w:t>niedotyczące rodziny</w:t>
      </w:r>
      <w:r>
        <w:t xml:space="preserve"> to:</w:t>
      </w:r>
    </w:p>
    <w:p w:rsidR="006A11AA" w:rsidRPr="006A11AA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 xml:space="preserve">roszczenia o odszkodowanie z tytułu obrażeń, których doznała dana osoba </w:t>
      </w:r>
    </w:p>
    <w:p w:rsidR="006A11AA" w:rsidRPr="006A11AA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>roszczenia o odszkodowanie z tytułu naruszenia umowy</w:t>
      </w:r>
    </w:p>
    <w:p w:rsidR="006A11AA" w:rsidRPr="006A11AA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>spory majątkowe (nie możemy zapewnić pomocy prawnej w przypadku większości sporów dotyczących nieruchomości)</w:t>
      </w:r>
    </w:p>
    <w:p w:rsidR="008B56A6" w:rsidRPr="002965A4" w:rsidRDefault="006A11AA" w:rsidP="006A11AA">
      <w:pPr>
        <w:autoSpaceDE w:val="0"/>
        <w:autoSpaceDN w:val="0"/>
        <w:adjustRightInd w:val="0"/>
        <w:ind w:left="709" w:hanging="425"/>
        <w:rPr>
          <w:rFonts w:cs="Arial"/>
        </w:rPr>
      </w:pPr>
      <w:r>
        <w:t>•</w:t>
      </w:r>
      <w:r>
        <w:tab/>
        <w:t xml:space="preserve">spory z pracodawcą (nie możemy udzielić pomocy prawnej i reprezentacji przed Komisją ds. relacji pracowniczych lub przez Sądem pracy) </w:t>
      </w:r>
    </w:p>
    <w:p w:rsidR="008B56A6" w:rsidRPr="00F05A66" w:rsidRDefault="00F05A66" w:rsidP="008B56A6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Jakich problemów nie obejmuje pomoc prawna w sprawach prawa cywilnego?</w:t>
      </w:r>
    </w:p>
    <w:p w:rsidR="00F05A66" w:rsidRPr="00F05A66" w:rsidRDefault="00F05A66" w:rsidP="00F05A66">
      <w:pPr>
        <w:autoSpaceDE w:val="0"/>
        <w:autoSpaceDN w:val="0"/>
        <w:adjustRightInd w:val="0"/>
        <w:rPr>
          <w:rFonts w:cs="Arial"/>
        </w:rPr>
      </w:pPr>
      <w:r>
        <w:t>Pomoc i porady prawne nie obejmują sytuacji, w których oskarżono osobę o przestępstwo. W przypadku oskarżenia o popełnienie przestępstwa, należy porozmawiać z prawnikiem prowadzącym prywatną praktykę lub poprosić sędziego o pomoc prawną podczas pierwszego dnia rozprawy w sądzie.</w:t>
      </w:r>
    </w:p>
    <w:p w:rsidR="00F05A66" w:rsidRDefault="00F05A66" w:rsidP="008B56A6">
      <w:pPr>
        <w:autoSpaceDE w:val="0"/>
        <w:autoSpaceDN w:val="0"/>
        <w:adjustRightInd w:val="0"/>
        <w:rPr>
          <w:rFonts w:cs="Arial"/>
        </w:rPr>
      </w:pPr>
    </w:p>
    <w:p w:rsidR="008B56A6" w:rsidRPr="002965A4" w:rsidRDefault="00F05A66" w:rsidP="008B56A6">
      <w:pPr>
        <w:autoSpaceDE w:val="0"/>
        <w:autoSpaceDN w:val="0"/>
        <w:adjustRightInd w:val="0"/>
        <w:rPr>
          <w:rFonts w:cs="Arial"/>
        </w:rPr>
      </w:pPr>
      <w:r>
        <w:t>Ponadto są pewne sprawy cywilne, w których nie możemy udzielić pomocy prawnej. Są to między innymi sprawy o zniesławienie (dawniej nazywane sprawami o zniesławienie i oszczerstwo), większość sporów majątkowych i wnioski o licencję na alkohol. W pozostałych przypadkach również są pewne wyjątki.  Jeśli nie ma pewności czy pomoc prawna jest dostępna w danym przypadku, można porozmawiać z pracownikiem w naszym centrum prawnym.</w:t>
      </w:r>
    </w:p>
    <w:p w:rsidR="008B56A6" w:rsidRDefault="008B56A6" w:rsidP="008B56A6">
      <w:pPr>
        <w:autoSpaceDE w:val="0"/>
        <w:autoSpaceDN w:val="0"/>
        <w:adjustRightInd w:val="0"/>
        <w:rPr>
          <w:rFonts w:cs="Arial"/>
          <w:b/>
        </w:rPr>
      </w:pPr>
    </w:p>
    <w:p w:rsidR="00F05A66" w:rsidRPr="002965A4" w:rsidRDefault="00F05A66" w:rsidP="008B56A6">
      <w:pPr>
        <w:autoSpaceDE w:val="0"/>
        <w:autoSpaceDN w:val="0"/>
        <w:adjustRightInd w:val="0"/>
        <w:rPr>
          <w:rFonts w:cs="Arial"/>
        </w:rPr>
      </w:pPr>
      <w:r>
        <w:t>Możemy zapewnić pomoc prawną tylko przed Sądem Odwoławczym ds. Ochrony Międzynarodowej (International Protection Appeals Tribunal). Przykładami sądów przed, którymi nie możemy reprezentować są: sąd pracy lub sąd ds. wynajmu powołany przez radę ds. najmu lokali mieszkalnych.  Nie możemy zapewnić pomocy prawnej w sprawach w sądach rejonowych, objętych procedurą drobnych roszczeń (często nieformalnie zwanych „sądami ds. drobnych roszczeń”).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</w:rPr>
      </w:pPr>
    </w:p>
    <w:p w:rsidR="00D366CE" w:rsidRPr="00FF0BA6" w:rsidRDefault="00D366CE" w:rsidP="00D366CE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 mogę uzyskać pomoc prawną, jeżeli staram się o ochronę międzynarodową (azyl)?</w:t>
      </w:r>
    </w:p>
    <w:p w:rsidR="00D366CE" w:rsidRDefault="00D366CE" w:rsidP="00D366CE">
      <w:pPr>
        <w:autoSpaceDE w:val="0"/>
        <w:autoSpaceDN w:val="0"/>
        <w:adjustRightInd w:val="0"/>
        <w:rPr>
          <w:rFonts w:cs="Arial"/>
        </w:rPr>
      </w:pPr>
      <w:r>
        <w:t>Oferujemy wyspecjalizowaną pomoc i porady dla osób ubiegających się o ochronę międzynarodową (azyl) odnoszące się do ich roszczeń. Posiadamy oddzielną ulotkę dotyczącą tego procesu.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</w:rPr>
      </w:pPr>
    </w:p>
    <w:p w:rsidR="00D366CE" w:rsidRPr="00121CF6" w:rsidRDefault="00D366CE" w:rsidP="00D366CE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lastRenderedPageBreak/>
        <w:t>W jaki sposób można zakwalifikować się pod względem finansowym do skorzystania z usług prawnych?</w:t>
      </w:r>
    </w:p>
    <w:p w:rsidR="00D366CE" w:rsidRPr="000E2F1E" w:rsidRDefault="00D366CE" w:rsidP="00D366CE">
      <w:pPr>
        <w:autoSpaceDE w:val="0"/>
        <w:autoSpaceDN w:val="0"/>
        <w:adjustRightInd w:val="0"/>
        <w:rPr>
          <w:rFonts w:cs="Arial"/>
        </w:rPr>
      </w:pPr>
      <w:r>
        <w:t>Dochód rozporządzalny nie może przekraczać €18000, a kapitał rozporządzalny nie może przekroczyć €10000. Określenie rozporządzalny oznacza, że obliczany jest dochód brutto lub kapitał, a następnie dokonywane są pewne odliczenia. Posiadamy oddzielną ulotkę, w której to szczegółowo opisano.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</w:rPr>
      </w:pPr>
    </w:p>
    <w:p w:rsidR="00D6094F" w:rsidRDefault="00D366CE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Ubieganie się o usługi prawne</w:t>
      </w:r>
    </w:p>
    <w:p w:rsidR="00631F5F" w:rsidRPr="008B56A6" w:rsidRDefault="00631F5F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Co należy zrobić, aby uzyskać poradę lub pomoc prawną?</w:t>
      </w:r>
    </w:p>
    <w:p w:rsidR="002F5229" w:rsidRPr="008B56A6" w:rsidRDefault="00631F5F" w:rsidP="000A4AC1">
      <w:pPr>
        <w:autoSpaceDE w:val="0"/>
        <w:autoSpaceDN w:val="0"/>
        <w:adjustRightInd w:val="0"/>
        <w:rPr>
          <w:rFonts w:cs="Arial"/>
        </w:rPr>
      </w:pPr>
      <w:r>
        <w:t>Należy:</w:t>
      </w:r>
    </w:p>
    <w:p w:rsidR="0037765B" w:rsidRPr="008B56A6" w:rsidRDefault="002F5229" w:rsidP="006F303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t>złożyć wniosek do centrum prawnego;</w:t>
      </w:r>
    </w:p>
    <w:p w:rsidR="006B5322" w:rsidRPr="00F05A66" w:rsidRDefault="0037765B" w:rsidP="006F303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t xml:space="preserve">Poddać się ocenie finansowej; oraz </w:t>
      </w:r>
    </w:p>
    <w:p w:rsidR="00FF0BA6" w:rsidRDefault="00F408F7" w:rsidP="00FF0BA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t>zapłacić składkę.</w:t>
      </w:r>
    </w:p>
    <w:p w:rsidR="00FF0BA6" w:rsidRPr="00FF0BA6" w:rsidRDefault="00FF0BA6" w:rsidP="002965A4">
      <w:pPr>
        <w:autoSpaceDE w:val="0"/>
        <w:autoSpaceDN w:val="0"/>
        <w:adjustRightInd w:val="0"/>
        <w:rPr>
          <w:rFonts w:cs="Arial"/>
        </w:rPr>
      </w:pPr>
    </w:p>
    <w:p w:rsidR="00415F4D" w:rsidRPr="00FF0BA6" w:rsidRDefault="00415F4D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Jak ubiegać się o pomoc prawną?</w:t>
      </w:r>
    </w:p>
    <w:p w:rsidR="006B5322" w:rsidRDefault="00E5175F" w:rsidP="000A4AC1">
      <w:pPr>
        <w:autoSpaceDE w:val="0"/>
        <w:autoSpaceDN w:val="0"/>
        <w:adjustRightInd w:val="0"/>
        <w:rPr>
          <w:rFonts w:cs="Arial"/>
        </w:rPr>
      </w:pPr>
      <w:r>
        <w:t xml:space="preserve">Aby skorzystać z usług prawnych, można złożyć wniosek przychodząc osobiście, dzwoniąc lub pisząc do dowolnego z naszych centrów prawnych wymienionych w tej ulotce lub można złożyć wniosek przez Internet na witrynie </w:t>
      </w:r>
      <w:hyperlink r:id="rId8" w:history="1">
        <w:r>
          <w:rPr>
            <w:rStyle w:val="Hyperlink"/>
          </w:rPr>
          <w:t>www.legalaidboard.ie</w:t>
        </w:r>
      </w:hyperlink>
      <w:r>
        <w:t xml:space="preserve"> </w:t>
      </w:r>
    </w:p>
    <w:p w:rsidR="00FF0BA6" w:rsidRP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F408F7" w:rsidRPr="002965A4" w:rsidRDefault="00FF3815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Co należy zrobić, starając się o skorzystanie z usług prawnych?</w:t>
      </w:r>
    </w:p>
    <w:p w:rsidR="00FF0BA6" w:rsidRDefault="00881F55" w:rsidP="000A4AC1">
      <w:pPr>
        <w:autoSpaceDE w:val="0"/>
        <w:autoSpaceDN w:val="0"/>
        <w:adjustRightInd w:val="0"/>
        <w:rPr>
          <w:rFonts w:cs="Arial"/>
          <w:bCs/>
        </w:rPr>
      </w:pPr>
      <w:r>
        <w:t xml:space="preserve">Należy wypełnić </w:t>
      </w:r>
      <w:r>
        <w:rPr>
          <w:b/>
          <w:bCs/>
        </w:rPr>
        <w:t>formularz wniosku</w:t>
      </w:r>
      <w:r>
        <w:t>.</w:t>
      </w:r>
      <w:r>
        <w:rPr>
          <w:b/>
          <w:bCs/>
        </w:rPr>
        <w:t xml:space="preserve"> </w:t>
      </w:r>
      <w:r>
        <w:t xml:space="preserve">W tym formularzu podaje się, dlaczego potrzeba porady prawnej lub pomocy. 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  <w:bCs/>
        </w:rPr>
      </w:pPr>
    </w:p>
    <w:p w:rsidR="00546903" w:rsidRPr="002965A4" w:rsidRDefault="00DB2457" w:rsidP="000A4AC1">
      <w:pPr>
        <w:autoSpaceDE w:val="0"/>
        <w:autoSpaceDN w:val="0"/>
        <w:adjustRightInd w:val="0"/>
        <w:rPr>
          <w:rFonts w:cs="Arial"/>
          <w:b/>
          <w:bCs/>
        </w:rPr>
      </w:pPr>
      <w:r>
        <w:t>Należy poddać się ocenie finansowej:</w:t>
      </w:r>
    </w:p>
    <w:p w:rsidR="001E1B75" w:rsidRDefault="001E1B75" w:rsidP="006F3030">
      <w:pPr>
        <w:autoSpaceDE w:val="0"/>
        <w:autoSpaceDN w:val="0"/>
        <w:adjustRightInd w:val="0"/>
        <w:rPr>
          <w:rFonts w:cs="Arial"/>
        </w:rPr>
      </w:pPr>
    </w:p>
    <w:p w:rsidR="001E1B75" w:rsidRPr="001E1B75" w:rsidRDefault="001E1B75" w:rsidP="001E1B75">
      <w:pPr>
        <w:autoSpaceDE w:val="0"/>
        <w:autoSpaceDN w:val="0"/>
        <w:adjustRightInd w:val="0"/>
        <w:ind w:left="567" w:hanging="283"/>
        <w:rPr>
          <w:rFonts w:cs="Arial"/>
        </w:rPr>
      </w:pPr>
      <w:r>
        <w:t>•</w:t>
      </w:r>
      <w:r>
        <w:tab/>
        <w:t xml:space="preserve">podać dane dotyczące swoich dochodów; </w:t>
      </w:r>
    </w:p>
    <w:p w:rsidR="001E1B75" w:rsidRPr="001E1B75" w:rsidRDefault="001E1B75" w:rsidP="001E1B75">
      <w:pPr>
        <w:autoSpaceDE w:val="0"/>
        <w:autoSpaceDN w:val="0"/>
        <w:adjustRightInd w:val="0"/>
        <w:ind w:left="567" w:hanging="283"/>
        <w:rPr>
          <w:rFonts w:cs="Arial"/>
        </w:rPr>
      </w:pPr>
      <w:r>
        <w:t>•</w:t>
      </w:r>
      <w:r>
        <w:tab/>
        <w:t>podać dane wszelkich zasobów kapitałowych, jak: nieruchomości, samochód lub oszczędności w banku. Wartość własnego domu jest wyłączona.</w:t>
      </w:r>
    </w:p>
    <w:p w:rsidR="001E1B75" w:rsidRPr="001E1B75" w:rsidRDefault="001E1B75" w:rsidP="001E1B75">
      <w:pPr>
        <w:autoSpaceDE w:val="0"/>
        <w:autoSpaceDN w:val="0"/>
        <w:adjustRightInd w:val="0"/>
        <w:ind w:left="567" w:hanging="283"/>
        <w:rPr>
          <w:rFonts w:cs="Arial"/>
        </w:rPr>
      </w:pPr>
      <w:r>
        <w:t>•</w:t>
      </w:r>
      <w:r>
        <w:tab/>
        <w:t>podać szczegółowe informacje na temat niektórych ponoszonych wydatków, w tym płaconego podatku dochodowego, czynszu lub spłat rat kredytu hipotecznego i pewnych kosztów opieki nad dzieckiem.</w:t>
      </w:r>
    </w:p>
    <w:p w:rsidR="001E1B75" w:rsidRDefault="001E1B75" w:rsidP="006F3030">
      <w:pPr>
        <w:autoSpaceDE w:val="0"/>
        <w:autoSpaceDN w:val="0"/>
        <w:adjustRightInd w:val="0"/>
        <w:rPr>
          <w:rFonts w:cs="Arial"/>
        </w:rPr>
      </w:pPr>
    </w:p>
    <w:p w:rsidR="001E1B75" w:rsidRDefault="001E1B75" w:rsidP="006F3030">
      <w:pPr>
        <w:autoSpaceDE w:val="0"/>
        <w:autoSpaceDN w:val="0"/>
        <w:adjustRightInd w:val="0"/>
        <w:rPr>
          <w:rFonts w:cs="Arial"/>
        </w:rPr>
      </w:pPr>
    </w:p>
    <w:p w:rsidR="00546903" w:rsidRPr="002965A4" w:rsidRDefault="003210EE" w:rsidP="006F3030">
      <w:pPr>
        <w:autoSpaceDE w:val="0"/>
        <w:autoSpaceDN w:val="0"/>
        <w:adjustRightInd w:val="0"/>
        <w:rPr>
          <w:rFonts w:cs="Arial"/>
        </w:rPr>
      </w:pPr>
      <w:r>
        <w:t>Na podstawie tych informacji rada ustala wysokość „dochodu rozporządzalnego” i „kapitału rozporządzalnego”.  Na witrynie internetowej rady zamieszczono internetowy wskaźnik, który pomaga petentom ustalić, czy kwalifikują się finansowo. Wskaźnik nie gwarantuje kwalifikowania się finansowego do korzystania z usług prawnych. Jest tylko wskazówką.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  <w:b/>
        </w:rPr>
      </w:pP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 na jednym formularzu można złożyć wniosek o poradę prawną w więcej niż jednej sprawie?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  <w:r>
        <w:t xml:space="preserve">Tak, ale tylko, gdy zgłoszenie dotyczy </w:t>
      </w:r>
      <w:r>
        <w:rPr>
          <w:b/>
        </w:rPr>
        <w:t>sporów rodzinnych</w:t>
      </w:r>
      <w:r>
        <w:t>.</w:t>
      </w:r>
    </w:p>
    <w:p w:rsidR="00D366CE" w:rsidRPr="002965A4" w:rsidRDefault="00D366CE" w:rsidP="000A4AC1">
      <w:pPr>
        <w:autoSpaceDE w:val="0"/>
        <w:autoSpaceDN w:val="0"/>
        <w:adjustRightInd w:val="0"/>
        <w:rPr>
          <w:rFonts w:cs="Arial"/>
          <w:b/>
        </w:rPr>
      </w:pPr>
    </w:p>
    <w:p w:rsidR="00D366CE" w:rsidRPr="002965A4" w:rsidRDefault="00D366CE" w:rsidP="000A4AC1">
      <w:pPr>
        <w:autoSpaceDE w:val="0"/>
        <w:autoSpaceDN w:val="0"/>
        <w:adjustRightInd w:val="0"/>
        <w:rPr>
          <w:rFonts w:cs="Arial"/>
        </w:rPr>
      </w:pPr>
      <w:r>
        <w:t>W przypadku ubiegania się o pomoc prawną w związku z innymi sporami nie dotyczącymi spraw rodzinnych, należy wypełnić oddzielny formularz wniosku dla każdej sprawy.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lastRenderedPageBreak/>
        <w:t>Czy jest więcej informacji o tym, w jaki sposób składać wniosek?</w:t>
      </w:r>
    </w:p>
    <w:p w:rsidR="00D366CE" w:rsidRPr="002965A4" w:rsidRDefault="00D366CE" w:rsidP="000A4AC1">
      <w:pPr>
        <w:autoSpaceDE w:val="0"/>
        <w:autoSpaceDN w:val="0"/>
        <w:adjustRightInd w:val="0"/>
        <w:rPr>
          <w:rFonts w:cs="Arial"/>
        </w:rPr>
      </w:pPr>
      <w:r>
        <w:t>Tak, posiadamy oddzielny poradnik dotyczący wypełniania formularza wniosku.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</w:p>
    <w:p w:rsidR="00FF0BA6" w:rsidRDefault="00FF0BA6" w:rsidP="000A4AC1">
      <w:pPr>
        <w:autoSpaceDE w:val="0"/>
        <w:autoSpaceDN w:val="0"/>
        <w:adjustRightInd w:val="0"/>
        <w:rPr>
          <w:rFonts w:cs="Arial"/>
          <w:b/>
        </w:rPr>
      </w:pPr>
    </w:p>
    <w:p w:rsidR="00D366CE" w:rsidRPr="002965A4" w:rsidRDefault="00D366CE" w:rsidP="002965A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Opłata za pomoc prawną w sprawach prawa cywilnego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  <w:b/>
        </w:rPr>
      </w:pPr>
    </w:p>
    <w:p w:rsidR="004361C0" w:rsidRPr="00FF0BA6" w:rsidRDefault="003210EE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 porada i pomoc prawna są bezpłatne?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</w:rPr>
      </w:pPr>
      <w:r>
        <w:t xml:space="preserve">Nie. W przypadku przyznania prawa do uzyskania porady lub pomocy prawnej, prawie we wszystkich przypadkach należy na rzecz rady zapłacić </w:t>
      </w:r>
      <w:r>
        <w:rPr>
          <w:b/>
          <w:bCs/>
        </w:rPr>
        <w:t>składkę</w:t>
      </w:r>
      <w:r>
        <w:t xml:space="preserve">. </w:t>
      </w:r>
    </w:p>
    <w:p w:rsidR="00D366CE" w:rsidRDefault="00D366CE" w:rsidP="000A4AC1">
      <w:pPr>
        <w:autoSpaceDE w:val="0"/>
        <w:autoSpaceDN w:val="0"/>
        <w:adjustRightInd w:val="0"/>
        <w:rPr>
          <w:rFonts w:cs="Arial"/>
        </w:rPr>
      </w:pPr>
    </w:p>
    <w:p w:rsidR="004361C0" w:rsidRPr="00811B1E" w:rsidRDefault="00D366CE" w:rsidP="000A4AC1">
      <w:pPr>
        <w:autoSpaceDE w:val="0"/>
        <w:autoSpaceDN w:val="0"/>
        <w:adjustRightInd w:val="0"/>
        <w:rPr>
          <w:rFonts w:cs="Arial"/>
        </w:rPr>
      </w:pPr>
      <w:r>
        <w:t>W niewielkiej liczbie przypadków pomoc prawna jest bezpłatna. Jeśli tak jest, przekażemy taką informację.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  <w:b/>
        </w:rPr>
      </w:pPr>
    </w:p>
    <w:p w:rsidR="003210EE" w:rsidRPr="00FF0BA6" w:rsidRDefault="003210EE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Ile trzeba zapłacić?</w:t>
      </w:r>
    </w:p>
    <w:p w:rsidR="00F408F7" w:rsidRPr="002965A4" w:rsidRDefault="003210EE" w:rsidP="000A4AC1">
      <w:pPr>
        <w:autoSpaceDE w:val="0"/>
        <w:autoSpaceDN w:val="0"/>
        <w:adjustRightInd w:val="0"/>
        <w:rPr>
          <w:rFonts w:cs="Arial"/>
        </w:rPr>
      </w:pPr>
      <w:r>
        <w:t>Składka za poradę prawną zostanie wyznaczona na podstawie rozporządzalnego dochodu. Najniższa składka za poradę prawną wynosi €30, a najwyższa €150.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3C6911" w:rsidRPr="00811B1E" w:rsidRDefault="003210EE" w:rsidP="000A4AC1">
      <w:pPr>
        <w:autoSpaceDE w:val="0"/>
        <w:autoSpaceDN w:val="0"/>
        <w:adjustRightInd w:val="0"/>
        <w:rPr>
          <w:rFonts w:cs="Arial"/>
        </w:rPr>
      </w:pPr>
      <w:r>
        <w:t>Składka za poradę prawną będzie ustalana na podstawie dochodu i kapitału rozporządzalnego. Minimalna składka za możliwość skorzystania z pomocy prawnej wynosi €130.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F408F7" w:rsidRPr="00811B1E" w:rsidRDefault="00F408F7" w:rsidP="000A4AC1">
      <w:pPr>
        <w:autoSpaceDE w:val="0"/>
        <w:autoSpaceDN w:val="0"/>
        <w:adjustRightInd w:val="0"/>
        <w:rPr>
          <w:rFonts w:cs="Arial"/>
        </w:rPr>
      </w:pPr>
      <w:r>
        <w:t xml:space="preserve">Pracownicy centrum prawnego poinformują o faktyczne wysokości składki do zapłacenia. 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4276EE" w:rsidRDefault="004276EE" w:rsidP="000A4AC1">
      <w:pPr>
        <w:autoSpaceDE w:val="0"/>
        <w:autoSpaceDN w:val="0"/>
        <w:adjustRightInd w:val="0"/>
        <w:rPr>
          <w:rFonts w:cs="Arial"/>
        </w:rPr>
      </w:pPr>
      <w:r>
        <w:t>W przypadku ubiegania się o pomoc prawną kiedy Agencja ds. dzieci i rodziny (</w:t>
      </w:r>
      <w:hyperlink r:id="rId9" w:history="1">
        <w:r>
          <w:t>Tusla</w:t>
        </w:r>
      </w:hyperlink>
      <w:r>
        <w:rPr>
          <w:color w:val="222222"/>
          <w:sz w:val="27"/>
          <w:szCs w:val="27"/>
        </w:rPr>
        <w:t>)</w:t>
      </w:r>
      <w:r>
        <w:t xml:space="preserve"> składa wniosek do sądu o zabranie Państwa dzieci pod opiekę lub umieszczenie dzieci pod jej nadzorem, nie płaci się żadnych składek.</w:t>
      </w:r>
    </w:p>
    <w:p w:rsidR="00D6094F" w:rsidRDefault="00D6094F" w:rsidP="000A4AC1">
      <w:pPr>
        <w:autoSpaceDE w:val="0"/>
        <w:autoSpaceDN w:val="0"/>
        <w:adjustRightInd w:val="0"/>
        <w:rPr>
          <w:rFonts w:cs="Arial"/>
        </w:rPr>
      </w:pPr>
    </w:p>
    <w:p w:rsidR="00811B1E" w:rsidRPr="008B56A6" w:rsidRDefault="00811B1E" w:rsidP="000A4AC1">
      <w:pPr>
        <w:autoSpaceDE w:val="0"/>
        <w:autoSpaceDN w:val="0"/>
        <w:adjustRightInd w:val="0"/>
        <w:rPr>
          <w:rFonts w:cs="Arial"/>
        </w:rPr>
      </w:pPr>
      <w:r>
        <w:t>W przypadku ubiegania się o pomoc prawną w sprawach o przemoc w rodzinie, nie płaci się żadnych składek, o ile wniosek o środek zaradczy przeciw przemocy domowej jest jedynym wnioskiem do Sądu rejonowego.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  <w:b/>
        </w:rPr>
      </w:pPr>
    </w:p>
    <w:p w:rsidR="00F408F7" w:rsidRDefault="000F2CFA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 później trzeba zapłacić więcej?</w:t>
      </w:r>
    </w:p>
    <w:p w:rsidR="00121CF6" w:rsidRPr="002965A4" w:rsidRDefault="00121CF6" w:rsidP="000A4AC1">
      <w:pPr>
        <w:autoSpaceDE w:val="0"/>
        <w:autoSpaceDN w:val="0"/>
        <w:adjustRightInd w:val="0"/>
        <w:rPr>
          <w:rFonts w:cs="Arial"/>
        </w:rPr>
      </w:pPr>
      <w:r>
        <w:t>Pod koniec sprawy, w pewnych okolicznościach, może zaistnieć konieczność zapłacenia Radzie ds. pomocy prawnej części lub całości poniesionych kosztów pomocy prawnej. W przypadku otrzymania pomocy prawnej, a to prawdopodobnie dotyczy Państwa, prawnik omówi okoliczności, w jakich może się to zdarzyć oraz przedstawi procedurę postępowania.</w:t>
      </w:r>
    </w:p>
    <w:p w:rsidR="00121CF6" w:rsidRDefault="00121CF6" w:rsidP="000A4AC1">
      <w:pPr>
        <w:autoSpaceDE w:val="0"/>
        <w:autoSpaceDN w:val="0"/>
        <w:adjustRightInd w:val="0"/>
        <w:rPr>
          <w:rFonts w:cs="Arial"/>
          <w:b/>
        </w:rPr>
      </w:pPr>
    </w:p>
    <w:p w:rsidR="000F2CFA" w:rsidRPr="002965A4" w:rsidRDefault="000F2CFA" w:rsidP="002965A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Pozostałe informacje</w:t>
      </w:r>
    </w:p>
    <w:p w:rsidR="000F2CFA" w:rsidRDefault="000F2CFA" w:rsidP="000A4AC1">
      <w:pPr>
        <w:autoSpaceDE w:val="0"/>
        <w:autoSpaceDN w:val="0"/>
        <w:adjustRightInd w:val="0"/>
        <w:rPr>
          <w:rFonts w:cs="Arial"/>
          <w:b/>
        </w:rPr>
      </w:pPr>
    </w:p>
    <w:p w:rsidR="00F408F7" w:rsidRPr="00FF0BA6" w:rsidRDefault="00B76030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Czy może dojść do odmowy świadczenia pomocy prawnej?</w:t>
      </w:r>
    </w:p>
    <w:p w:rsidR="000F2CFA" w:rsidRDefault="00B76030" w:rsidP="000A4AC1">
      <w:pPr>
        <w:autoSpaceDE w:val="0"/>
        <w:autoSpaceDN w:val="0"/>
        <w:adjustRightInd w:val="0"/>
        <w:rPr>
          <w:rFonts w:cs="Arial"/>
        </w:rPr>
      </w:pPr>
      <w:r>
        <w:t xml:space="preserve">Po otrzymaniu obsługi prawnej, oczekuje się, że dana osoba będzie prawdomówna w kwestii informacji przekazywanych Radzie i prawnikowi oraz będzie zachowywać się rozsądnie podczas kontaktów z Radą i prawnikiem. Podawanie nieprawdziwych informacji lub nierozsądne postępowanie może prowadzić do odmowy świadczenia zaoferowanych usług prawnych i konieczność pokrycia pełnych kosztów obsługi prawnej. </w:t>
      </w:r>
    </w:p>
    <w:p w:rsidR="000F2CFA" w:rsidRDefault="000F2CFA" w:rsidP="000A4AC1">
      <w:pPr>
        <w:autoSpaceDE w:val="0"/>
        <w:autoSpaceDN w:val="0"/>
        <w:adjustRightInd w:val="0"/>
        <w:rPr>
          <w:rFonts w:cs="Arial"/>
        </w:rPr>
      </w:pPr>
    </w:p>
    <w:p w:rsidR="00F408F7" w:rsidRPr="00121CF6" w:rsidRDefault="00121CF6" w:rsidP="000A4AC1">
      <w:pPr>
        <w:autoSpaceDE w:val="0"/>
        <w:autoSpaceDN w:val="0"/>
        <w:adjustRightInd w:val="0"/>
        <w:rPr>
          <w:rFonts w:cs="Arial"/>
        </w:rPr>
      </w:pPr>
      <w:r>
        <w:t>Jeśli nieprawdziwe informacje związane są z sytuacją finansową, zamiast odmowy świadczenia usługi prawnej, możemy poprosić o zapłacenie większej składki za pomoc prawną.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  <w:b/>
        </w:rPr>
      </w:pPr>
    </w:p>
    <w:p w:rsidR="00B76030" w:rsidRPr="00FF0BA6" w:rsidRDefault="00B76030" w:rsidP="000A4AC1">
      <w:pPr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>Co się stanie po zakończeniu usługi prawnej?</w:t>
      </w:r>
    </w:p>
    <w:p w:rsidR="00F408F7" w:rsidRPr="002965A4" w:rsidRDefault="00F408F7" w:rsidP="000A4AC1">
      <w:pPr>
        <w:autoSpaceDE w:val="0"/>
        <w:autoSpaceDN w:val="0"/>
        <w:adjustRightInd w:val="0"/>
        <w:rPr>
          <w:rFonts w:cs="Arial"/>
        </w:rPr>
      </w:pPr>
      <w:r>
        <w:t>Po zakończeniu świadczenia usług prawnych, zostanie wysłana w tej sprawie informacja na piśmie. Wszelkie oryginalne dokumenty zostaną zwrócone, a akta danej osoby zostaną zamknięte.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F408F7" w:rsidRPr="00811B1E" w:rsidRDefault="00F408F7" w:rsidP="000A4AC1">
      <w:pPr>
        <w:autoSpaceDE w:val="0"/>
        <w:autoSpaceDN w:val="0"/>
        <w:adjustRightInd w:val="0"/>
        <w:rPr>
          <w:rFonts w:cs="Arial"/>
        </w:rPr>
      </w:pPr>
      <w:r>
        <w:t>Po kilku latach zamknięte akta zostaną zniszczone zgodnie z zasadami obowiązującymi w Radzie ds. pomocy prawnej.</w:t>
      </w:r>
    </w:p>
    <w:p w:rsidR="00FF0BA6" w:rsidRDefault="00FF0BA6" w:rsidP="000A4AC1">
      <w:pPr>
        <w:autoSpaceDE w:val="0"/>
        <w:autoSpaceDN w:val="0"/>
        <w:adjustRightInd w:val="0"/>
        <w:rPr>
          <w:rFonts w:cs="Arial"/>
        </w:rPr>
      </w:pPr>
    </w:p>
    <w:p w:rsidR="00F408F7" w:rsidRPr="00121CF6" w:rsidRDefault="00B30C66" w:rsidP="000A4AC1">
      <w:pPr>
        <w:autoSpaceDE w:val="0"/>
        <w:autoSpaceDN w:val="0"/>
        <w:adjustRightInd w:val="0"/>
        <w:rPr>
          <w:rFonts w:cs="Arial"/>
        </w:rPr>
      </w:pPr>
      <w:r>
        <w:t xml:space="preserve">W dowolnym momencie można złożyć </w:t>
      </w:r>
      <w:r>
        <w:rPr>
          <w:b/>
          <w:bCs/>
        </w:rPr>
        <w:t>ponowny wniosek</w:t>
      </w:r>
      <w:r>
        <w:t xml:space="preserve"> o obsługę prawną w sprawach powiązanych lub w innych.</w:t>
      </w:r>
    </w:p>
    <w:p w:rsidR="00DA186A" w:rsidRPr="002965A4" w:rsidRDefault="00B30C66" w:rsidP="000A4AC1">
      <w:pPr>
        <w:autoSpaceDE w:val="0"/>
        <w:autoSpaceDN w:val="0"/>
        <w:adjustRightInd w:val="0"/>
        <w:rPr>
          <w:rFonts w:cs="Arial"/>
        </w:rPr>
      </w:pPr>
      <w:r>
        <w:t>Rozważając złożenie wniosku o obsługę prawną, należy zapoznać się z niektórymi innymi broszurami informacyjnymi Rady, w tym z broszurą o ubieganiu się o obsługę prawną oraz o finansowych kryteriach zakwalifikowania.</w:t>
      </w:r>
    </w:p>
    <w:p w:rsidR="00FF0BA6" w:rsidRDefault="00FF0BA6" w:rsidP="000518F2">
      <w:pPr>
        <w:autoSpaceDE w:val="0"/>
        <w:autoSpaceDN w:val="0"/>
        <w:adjustRightInd w:val="0"/>
        <w:rPr>
          <w:rFonts w:cs="Arial"/>
          <w:b/>
          <w:bCs/>
        </w:rPr>
      </w:pPr>
    </w:p>
    <w:p w:rsidR="00D33CDD" w:rsidRPr="00121CF6" w:rsidRDefault="00D33CDD" w:rsidP="000518F2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b/>
          <w:bCs/>
        </w:rPr>
        <w:t>Dane kontaktowe</w:t>
      </w:r>
    </w:p>
    <w:p w:rsidR="00D60B82" w:rsidRDefault="00D33CDD" w:rsidP="002965A4">
      <w:pPr>
        <w:autoSpaceDE w:val="0"/>
        <w:autoSpaceDN w:val="0"/>
        <w:adjustRightInd w:val="0"/>
        <w:rPr>
          <w:rFonts w:cs="Arial"/>
          <w:bCs/>
        </w:rPr>
      </w:pPr>
      <w:r>
        <w:t>Ogólne informacje dotyczące naszych usług oraz kwalifikowania się pod względem finansowym są dostępne w dowolnym centrum prawnym lub w następujących miejscach:</w:t>
      </w:r>
      <w:r>
        <w:tab/>
      </w:r>
    </w:p>
    <w:p w:rsidR="00121CF6" w:rsidRPr="00121CF6" w:rsidRDefault="00121CF6" w:rsidP="002965A4">
      <w:pPr>
        <w:autoSpaceDE w:val="0"/>
        <w:autoSpaceDN w:val="0"/>
        <w:adjustRightInd w:val="0"/>
        <w:ind w:left="-1309" w:firstLine="1309"/>
        <w:rPr>
          <w:rFonts w:cs="Arial"/>
          <w:bCs/>
        </w:rPr>
      </w:pPr>
    </w:p>
    <w:p w:rsidR="003D1841" w:rsidRPr="002C3759" w:rsidRDefault="006B2947" w:rsidP="000A4AC1">
      <w:pPr>
        <w:rPr>
          <w:rFonts w:cs="Arial"/>
          <w:bCs/>
        </w:rPr>
      </w:pPr>
      <w:r>
        <w:rPr>
          <w:b/>
          <w:bCs/>
        </w:rPr>
        <w:t xml:space="preserve">Centrala: </w:t>
      </w:r>
      <w:r>
        <w:t>Legal Aid Board, Quay Street, Cahirciveen, Co. Kerry, V23 RD36.</w:t>
      </w:r>
    </w:p>
    <w:p w:rsidR="003D1841" w:rsidRPr="008B56A6" w:rsidRDefault="003D1841" w:rsidP="000A4AC1">
      <w:pPr>
        <w:rPr>
          <w:rFonts w:cs="Arial"/>
          <w:bCs/>
        </w:rPr>
      </w:pPr>
      <w:r>
        <w:t>Bezpłatny numer telefonu 1890 615200 Numer telefonu (066) 947 1000 Faks:  (066) 947 1035</w:t>
      </w:r>
    </w:p>
    <w:p w:rsidR="000F2CFA" w:rsidRDefault="000F2CFA" w:rsidP="000A4AC1">
      <w:pPr>
        <w:autoSpaceDE w:val="0"/>
        <w:autoSpaceDN w:val="0"/>
        <w:adjustRightInd w:val="0"/>
        <w:rPr>
          <w:rFonts w:cs="Arial"/>
        </w:rPr>
      </w:pPr>
    </w:p>
    <w:p w:rsidR="00877FDE" w:rsidRPr="008B56A6" w:rsidRDefault="00231CF9" w:rsidP="000A4AC1">
      <w:pPr>
        <w:autoSpaceDE w:val="0"/>
        <w:autoSpaceDN w:val="0"/>
        <w:adjustRightInd w:val="0"/>
        <w:rPr>
          <w:rFonts w:cs="Arial"/>
        </w:rPr>
      </w:pPr>
      <w:r>
        <w:t xml:space="preserve">Informacje oraz </w:t>
      </w:r>
      <w:r>
        <w:rPr>
          <w:b/>
        </w:rPr>
        <w:t>formularz wniosku</w:t>
      </w:r>
      <w:r>
        <w:t xml:space="preserve"> są również dostępne na witrynie internetowej Rady pod adresem </w:t>
      </w:r>
    </w:p>
    <w:p w:rsidR="00877FDE" w:rsidRPr="00EA14A1" w:rsidRDefault="0013480B" w:rsidP="000A4AC1">
      <w:pPr>
        <w:autoSpaceDE w:val="0"/>
        <w:autoSpaceDN w:val="0"/>
        <w:adjustRightInd w:val="0"/>
        <w:rPr>
          <w:rFonts w:cs="Arial"/>
          <w:b/>
          <w:bCs/>
        </w:rPr>
      </w:pPr>
      <w:hyperlink r:id="rId10" w:history="1">
        <w:r w:rsidR="001E1B75">
          <w:rPr>
            <w:rStyle w:val="Hyperlink"/>
            <w:b/>
            <w:bCs/>
            <w:color w:val="auto"/>
          </w:rPr>
          <w:t>www.legalaidboard.ie</w:t>
        </w:r>
      </w:hyperlink>
    </w:p>
    <w:p w:rsidR="000F2CFA" w:rsidRDefault="000F2CFA" w:rsidP="004748A7">
      <w:pPr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6B2947" w:rsidRPr="00EA14A1" w:rsidRDefault="00544C48" w:rsidP="004748A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t>Ulotki informacyjne na temat Rady ds. pomocy prawnej</w:t>
      </w:r>
    </w:p>
    <w:p w:rsidR="00544C48" w:rsidRPr="002965A4" w:rsidRDefault="00544C48" w:rsidP="000A4AC1">
      <w:pPr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1"/>
        <w:gridCol w:w="1777"/>
        <w:gridCol w:w="1734"/>
        <w:gridCol w:w="3933"/>
      </w:tblGrid>
      <w:tr w:rsidR="00DA52E2" w:rsidRPr="0080391F" w:rsidTr="00D47411">
        <w:trPr>
          <w:trHeight w:val="271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Pomoc prawna w sprawach prawa cywilnego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9.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Obsługa klienta oraz reklamacje</w:t>
            </w:r>
          </w:p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 xml:space="preserve"> </w:t>
            </w:r>
          </w:p>
        </w:tc>
      </w:tr>
      <w:tr w:rsidR="00DA52E2" w:rsidRPr="0080391F" w:rsidTr="00D47411">
        <w:trPr>
          <w:trHeight w:val="259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2.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Separacja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10.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 xml:space="preserve">Jak wypełnić formularz wniosku o obsługę prawną </w:t>
            </w:r>
          </w:p>
        </w:tc>
      </w:tr>
      <w:tr w:rsidR="00DA52E2" w:rsidRPr="0080391F" w:rsidTr="00D47411">
        <w:trPr>
          <w:trHeight w:val="259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3.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Rozwód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11.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Odmowa świadczenia usług prawnych</w:t>
            </w:r>
          </w:p>
        </w:tc>
      </w:tr>
      <w:tr w:rsidR="00DA52E2" w:rsidRPr="0080391F" w:rsidTr="00D47411">
        <w:trPr>
          <w:trHeight w:val="368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4.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Unieważnienie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12.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Kryteria finansowe kwalifikacji do pomocy oraz składki</w:t>
            </w:r>
          </w:p>
        </w:tc>
      </w:tr>
      <w:tr w:rsidR="00DA52E2" w:rsidRPr="0080391F" w:rsidTr="00D47411">
        <w:trPr>
          <w:trHeight w:val="534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5.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Alimenty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13.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 xml:space="preserve">Pomoc prawna w sprawach prawa cywilnego i skarżący w sprawach o gwałt i w przypadku innych </w:t>
            </w:r>
            <w:r>
              <w:lastRenderedPageBreak/>
              <w:t>spraw przemocy na tle seksualnym</w:t>
            </w:r>
          </w:p>
        </w:tc>
      </w:tr>
      <w:tr w:rsidR="00DA52E2" w:rsidRPr="0080391F" w:rsidTr="00D47411">
        <w:trPr>
          <w:trHeight w:val="259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lastRenderedPageBreak/>
              <w:t>Ulotka Nr 6.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Przemoc domowa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14.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Prawa konkubentów</w:t>
            </w:r>
          </w:p>
        </w:tc>
      </w:tr>
      <w:tr w:rsidR="00DA52E2" w:rsidRPr="0080391F" w:rsidTr="00D47411">
        <w:trPr>
          <w:trHeight w:val="93"/>
        </w:trPr>
        <w:tc>
          <w:tcPr>
            <w:tcW w:w="1668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7.</w:t>
            </w:r>
          </w:p>
        </w:tc>
        <w:tc>
          <w:tcPr>
            <w:tcW w:w="162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Dzieci i prawo rodzinne</w:t>
            </w:r>
          </w:p>
        </w:tc>
        <w:tc>
          <w:tcPr>
            <w:tcW w:w="1776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Ulotka Nr 15.</w:t>
            </w:r>
          </w:p>
        </w:tc>
        <w:tc>
          <w:tcPr>
            <w:tcW w:w="4005" w:type="dxa"/>
            <w:vAlign w:val="center"/>
          </w:tcPr>
          <w:p w:rsidR="00DA52E2" w:rsidRPr="002965A4" w:rsidRDefault="00DA52E2" w:rsidP="00D47411">
            <w:pPr>
              <w:rPr>
                <w:rFonts w:cs="Arial"/>
                <w:szCs w:val="24"/>
              </w:rPr>
            </w:pPr>
            <w:r>
              <w:t>Opieka nad dzieckiem</w:t>
            </w:r>
          </w:p>
        </w:tc>
      </w:tr>
      <w:tr w:rsidR="00F850B1" w:rsidRPr="0080391F" w:rsidTr="00D47411">
        <w:trPr>
          <w:trHeight w:val="277"/>
        </w:trPr>
        <w:tc>
          <w:tcPr>
            <w:tcW w:w="1668" w:type="dxa"/>
            <w:vAlign w:val="center"/>
          </w:tcPr>
          <w:p w:rsidR="00F850B1" w:rsidRPr="002965A4" w:rsidRDefault="00F850B1" w:rsidP="00D47411">
            <w:pPr>
              <w:rPr>
                <w:rFonts w:cs="Arial"/>
                <w:szCs w:val="24"/>
              </w:rPr>
            </w:pPr>
            <w:r>
              <w:t>Ulotka Nr 8.</w:t>
            </w:r>
          </w:p>
        </w:tc>
        <w:tc>
          <w:tcPr>
            <w:tcW w:w="1626" w:type="dxa"/>
            <w:vAlign w:val="center"/>
          </w:tcPr>
          <w:p w:rsidR="00F850B1" w:rsidRPr="002965A4" w:rsidRDefault="00F850B1" w:rsidP="00D47411">
            <w:pPr>
              <w:rPr>
                <w:rFonts w:cs="Arial"/>
                <w:szCs w:val="24"/>
              </w:rPr>
            </w:pPr>
            <w:r>
              <w:t>Testamenty i dziedziczenie</w:t>
            </w:r>
          </w:p>
        </w:tc>
        <w:tc>
          <w:tcPr>
            <w:tcW w:w="1776" w:type="dxa"/>
            <w:vAlign w:val="center"/>
          </w:tcPr>
          <w:p w:rsidR="00F850B1" w:rsidRPr="002965A4" w:rsidRDefault="005472AE" w:rsidP="00D47411">
            <w:pPr>
              <w:rPr>
                <w:rFonts w:cs="Arial"/>
                <w:szCs w:val="24"/>
              </w:rPr>
            </w:pPr>
            <w:r>
              <w:t>Ulotka Nr 16.</w:t>
            </w:r>
          </w:p>
        </w:tc>
        <w:tc>
          <w:tcPr>
            <w:tcW w:w="4005" w:type="dxa"/>
            <w:vAlign w:val="center"/>
          </w:tcPr>
          <w:p w:rsidR="00F850B1" w:rsidRPr="002965A4" w:rsidRDefault="005472AE" w:rsidP="00D47411">
            <w:pPr>
              <w:rPr>
                <w:rFonts w:cs="Arial"/>
                <w:szCs w:val="24"/>
              </w:rPr>
            </w:pPr>
            <w:r>
              <w:t>Wnioski o zmianę radcy prawnego / adwokata</w:t>
            </w:r>
          </w:p>
        </w:tc>
      </w:tr>
    </w:tbl>
    <w:p w:rsidR="000D6D80" w:rsidRPr="002C3759" w:rsidRDefault="000D6D80" w:rsidP="000A4AC1">
      <w:pPr>
        <w:rPr>
          <w:rFonts w:cs="Arial"/>
        </w:rPr>
      </w:pPr>
    </w:p>
    <w:sectPr w:rsidR="000D6D80" w:rsidRPr="002C3759" w:rsidSect="00D31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79" w:right="1581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10" w:rsidRDefault="00471610">
      <w:r>
        <w:separator/>
      </w:r>
    </w:p>
  </w:endnote>
  <w:endnote w:type="continuationSeparator" w:id="0">
    <w:p w:rsidR="00471610" w:rsidRDefault="004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10" w:rsidRDefault="00471610">
      <w:r>
        <w:separator/>
      </w:r>
    </w:p>
  </w:footnote>
  <w:footnote w:type="continuationSeparator" w:id="0">
    <w:p w:rsidR="00471610" w:rsidRDefault="0047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7" w:rsidRDefault="00474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2FF"/>
    <w:multiLevelType w:val="hybridMultilevel"/>
    <w:tmpl w:val="9AB49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5A19"/>
    <w:multiLevelType w:val="hybridMultilevel"/>
    <w:tmpl w:val="90D81F5C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372EE"/>
    <w:multiLevelType w:val="hybridMultilevel"/>
    <w:tmpl w:val="AD7AA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0328"/>
    <w:multiLevelType w:val="hybridMultilevel"/>
    <w:tmpl w:val="84B493E8"/>
    <w:lvl w:ilvl="0" w:tplc="1B3AD6A4">
      <w:start w:val="1"/>
      <w:numFmt w:val="upperLetter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06942"/>
    <w:multiLevelType w:val="hybridMultilevel"/>
    <w:tmpl w:val="20384C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64973"/>
    <w:multiLevelType w:val="hybridMultilevel"/>
    <w:tmpl w:val="EACE92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3E8A"/>
    <w:multiLevelType w:val="hybridMultilevel"/>
    <w:tmpl w:val="D8B068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15F3"/>
    <w:multiLevelType w:val="hybridMultilevel"/>
    <w:tmpl w:val="7996CE70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2B188E3C">
      <w:start w:val="1"/>
      <w:numFmt w:val="bullet"/>
      <w:lvlText w:val=""/>
      <w:lvlJc w:val="left"/>
      <w:pPr>
        <w:tabs>
          <w:tab w:val="num" w:pos="1511"/>
        </w:tabs>
        <w:ind w:left="117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50BB53FD"/>
    <w:multiLevelType w:val="hybridMultilevel"/>
    <w:tmpl w:val="CB46C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835DE"/>
    <w:multiLevelType w:val="hybridMultilevel"/>
    <w:tmpl w:val="856AC3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E2708"/>
    <w:multiLevelType w:val="hybridMultilevel"/>
    <w:tmpl w:val="C6A2C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607FE"/>
    <w:multiLevelType w:val="multilevel"/>
    <w:tmpl w:val="5FF6BDE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7B996A53"/>
    <w:multiLevelType w:val="hybridMultilevel"/>
    <w:tmpl w:val="7D8CD4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B2"/>
    <w:rsid w:val="000518F2"/>
    <w:rsid w:val="00055BFD"/>
    <w:rsid w:val="0006273E"/>
    <w:rsid w:val="00072F81"/>
    <w:rsid w:val="0007370F"/>
    <w:rsid w:val="000817BA"/>
    <w:rsid w:val="000837D8"/>
    <w:rsid w:val="000A4AC1"/>
    <w:rsid w:val="000B2F63"/>
    <w:rsid w:val="000B7B91"/>
    <w:rsid w:val="000D6D80"/>
    <w:rsid w:val="000F2CFA"/>
    <w:rsid w:val="00121CF6"/>
    <w:rsid w:val="001225E8"/>
    <w:rsid w:val="00122E40"/>
    <w:rsid w:val="0013480B"/>
    <w:rsid w:val="0014783F"/>
    <w:rsid w:val="00157059"/>
    <w:rsid w:val="00191579"/>
    <w:rsid w:val="001A25EE"/>
    <w:rsid w:val="001A4405"/>
    <w:rsid w:val="001C0C3E"/>
    <w:rsid w:val="001C55C4"/>
    <w:rsid w:val="001E1B75"/>
    <w:rsid w:val="00210AF1"/>
    <w:rsid w:val="002129A3"/>
    <w:rsid w:val="00216ABC"/>
    <w:rsid w:val="002272FA"/>
    <w:rsid w:val="00231CF9"/>
    <w:rsid w:val="00235C14"/>
    <w:rsid w:val="00240732"/>
    <w:rsid w:val="00274D83"/>
    <w:rsid w:val="002965A4"/>
    <w:rsid w:val="002A6E5C"/>
    <w:rsid w:val="002C1384"/>
    <w:rsid w:val="002C3759"/>
    <w:rsid w:val="002D470B"/>
    <w:rsid w:val="002E19F1"/>
    <w:rsid w:val="002F5229"/>
    <w:rsid w:val="00302F74"/>
    <w:rsid w:val="003055D8"/>
    <w:rsid w:val="003210EE"/>
    <w:rsid w:val="00341150"/>
    <w:rsid w:val="00353143"/>
    <w:rsid w:val="003636E7"/>
    <w:rsid w:val="00365AA5"/>
    <w:rsid w:val="0037216F"/>
    <w:rsid w:val="0037765B"/>
    <w:rsid w:val="0038348A"/>
    <w:rsid w:val="00383ADC"/>
    <w:rsid w:val="00396032"/>
    <w:rsid w:val="003B6E05"/>
    <w:rsid w:val="003C6911"/>
    <w:rsid w:val="003D1841"/>
    <w:rsid w:val="003D1F8E"/>
    <w:rsid w:val="00401AB9"/>
    <w:rsid w:val="00412CCC"/>
    <w:rsid w:val="00415F4D"/>
    <w:rsid w:val="004276EE"/>
    <w:rsid w:val="00435DA4"/>
    <w:rsid w:val="004361C0"/>
    <w:rsid w:val="004554F3"/>
    <w:rsid w:val="00463DF4"/>
    <w:rsid w:val="00471610"/>
    <w:rsid w:val="004748A7"/>
    <w:rsid w:val="004831FC"/>
    <w:rsid w:val="004A499F"/>
    <w:rsid w:val="004C6250"/>
    <w:rsid w:val="004C6577"/>
    <w:rsid w:val="004C6641"/>
    <w:rsid w:val="004D0B7F"/>
    <w:rsid w:val="0050426B"/>
    <w:rsid w:val="00517CFB"/>
    <w:rsid w:val="00522683"/>
    <w:rsid w:val="00537648"/>
    <w:rsid w:val="00544C48"/>
    <w:rsid w:val="00546903"/>
    <w:rsid w:val="005472AE"/>
    <w:rsid w:val="00550D1E"/>
    <w:rsid w:val="00562316"/>
    <w:rsid w:val="00570C33"/>
    <w:rsid w:val="00573B88"/>
    <w:rsid w:val="00586A73"/>
    <w:rsid w:val="005938DF"/>
    <w:rsid w:val="005F4817"/>
    <w:rsid w:val="0060021D"/>
    <w:rsid w:val="00625851"/>
    <w:rsid w:val="00631F5F"/>
    <w:rsid w:val="00634AEE"/>
    <w:rsid w:val="0066161B"/>
    <w:rsid w:val="006670E0"/>
    <w:rsid w:val="006970AF"/>
    <w:rsid w:val="006A11AA"/>
    <w:rsid w:val="006B2947"/>
    <w:rsid w:val="006B5322"/>
    <w:rsid w:val="006E1D4F"/>
    <w:rsid w:val="006F04B4"/>
    <w:rsid w:val="006F3030"/>
    <w:rsid w:val="006F3AF2"/>
    <w:rsid w:val="0070194A"/>
    <w:rsid w:val="00720A1D"/>
    <w:rsid w:val="00746B96"/>
    <w:rsid w:val="00781C21"/>
    <w:rsid w:val="00782769"/>
    <w:rsid w:val="007B0A87"/>
    <w:rsid w:val="007B22DF"/>
    <w:rsid w:val="007B4781"/>
    <w:rsid w:val="007F7319"/>
    <w:rsid w:val="0080391F"/>
    <w:rsid w:val="00804C53"/>
    <w:rsid w:val="00811B1E"/>
    <w:rsid w:val="008137CF"/>
    <w:rsid w:val="008218F4"/>
    <w:rsid w:val="00833346"/>
    <w:rsid w:val="00834859"/>
    <w:rsid w:val="0084411F"/>
    <w:rsid w:val="00844CF1"/>
    <w:rsid w:val="008575B1"/>
    <w:rsid w:val="00861211"/>
    <w:rsid w:val="00863B1D"/>
    <w:rsid w:val="00877FDE"/>
    <w:rsid w:val="00881F55"/>
    <w:rsid w:val="0088241E"/>
    <w:rsid w:val="00884DB9"/>
    <w:rsid w:val="00887E02"/>
    <w:rsid w:val="008A6CEF"/>
    <w:rsid w:val="008B07B1"/>
    <w:rsid w:val="008B49A6"/>
    <w:rsid w:val="008B56A6"/>
    <w:rsid w:val="008C296E"/>
    <w:rsid w:val="008D25B5"/>
    <w:rsid w:val="008D3B6C"/>
    <w:rsid w:val="008E34E0"/>
    <w:rsid w:val="008F0C6F"/>
    <w:rsid w:val="008F7661"/>
    <w:rsid w:val="00904FB7"/>
    <w:rsid w:val="00907C7E"/>
    <w:rsid w:val="00912582"/>
    <w:rsid w:val="0093523E"/>
    <w:rsid w:val="00950329"/>
    <w:rsid w:val="00951AE6"/>
    <w:rsid w:val="00957892"/>
    <w:rsid w:val="0096046F"/>
    <w:rsid w:val="00970508"/>
    <w:rsid w:val="00970FCB"/>
    <w:rsid w:val="009B2AA4"/>
    <w:rsid w:val="009B6A4D"/>
    <w:rsid w:val="009E1355"/>
    <w:rsid w:val="009F320D"/>
    <w:rsid w:val="009F4319"/>
    <w:rsid w:val="00A01AB2"/>
    <w:rsid w:val="00A043BB"/>
    <w:rsid w:val="00A24413"/>
    <w:rsid w:val="00A4193A"/>
    <w:rsid w:val="00A50AA2"/>
    <w:rsid w:val="00A65B6F"/>
    <w:rsid w:val="00A73EEA"/>
    <w:rsid w:val="00A74057"/>
    <w:rsid w:val="00A821F5"/>
    <w:rsid w:val="00A82923"/>
    <w:rsid w:val="00A85C55"/>
    <w:rsid w:val="00A9267E"/>
    <w:rsid w:val="00AB42A6"/>
    <w:rsid w:val="00AD2C33"/>
    <w:rsid w:val="00AE0BC8"/>
    <w:rsid w:val="00AF3962"/>
    <w:rsid w:val="00B00DD2"/>
    <w:rsid w:val="00B11688"/>
    <w:rsid w:val="00B13A9A"/>
    <w:rsid w:val="00B30C66"/>
    <w:rsid w:val="00B4436A"/>
    <w:rsid w:val="00B5075E"/>
    <w:rsid w:val="00B60809"/>
    <w:rsid w:val="00B76030"/>
    <w:rsid w:val="00B77906"/>
    <w:rsid w:val="00BA01FF"/>
    <w:rsid w:val="00BA687B"/>
    <w:rsid w:val="00BC40CB"/>
    <w:rsid w:val="00BD6231"/>
    <w:rsid w:val="00BF6205"/>
    <w:rsid w:val="00C079C6"/>
    <w:rsid w:val="00C10990"/>
    <w:rsid w:val="00C11986"/>
    <w:rsid w:val="00C13B29"/>
    <w:rsid w:val="00C808ED"/>
    <w:rsid w:val="00C82DD9"/>
    <w:rsid w:val="00CB4F6C"/>
    <w:rsid w:val="00CB647C"/>
    <w:rsid w:val="00CC2FE6"/>
    <w:rsid w:val="00CD0335"/>
    <w:rsid w:val="00CD1962"/>
    <w:rsid w:val="00CD7227"/>
    <w:rsid w:val="00CE191F"/>
    <w:rsid w:val="00D31027"/>
    <w:rsid w:val="00D33CDD"/>
    <w:rsid w:val="00D366CE"/>
    <w:rsid w:val="00D47411"/>
    <w:rsid w:val="00D56B50"/>
    <w:rsid w:val="00D6094F"/>
    <w:rsid w:val="00D60B82"/>
    <w:rsid w:val="00D64C41"/>
    <w:rsid w:val="00D66CEB"/>
    <w:rsid w:val="00D77B7B"/>
    <w:rsid w:val="00DA186A"/>
    <w:rsid w:val="00DA52E2"/>
    <w:rsid w:val="00DB09E4"/>
    <w:rsid w:val="00DB2457"/>
    <w:rsid w:val="00DF164D"/>
    <w:rsid w:val="00E007F0"/>
    <w:rsid w:val="00E162FB"/>
    <w:rsid w:val="00E20E46"/>
    <w:rsid w:val="00E23ED3"/>
    <w:rsid w:val="00E369F5"/>
    <w:rsid w:val="00E41685"/>
    <w:rsid w:val="00E46C2F"/>
    <w:rsid w:val="00E5175F"/>
    <w:rsid w:val="00E573AF"/>
    <w:rsid w:val="00E65DA1"/>
    <w:rsid w:val="00E762D6"/>
    <w:rsid w:val="00E962B2"/>
    <w:rsid w:val="00EA14A1"/>
    <w:rsid w:val="00EB3D95"/>
    <w:rsid w:val="00EC0663"/>
    <w:rsid w:val="00EC6D0C"/>
    <w:rsid w:val="00ED0F60"/>
    <w:rsid w:val="00ED17C8"/>
    <w:rsid w:val="00EE734B"/>
    <w:rsid w:val="00EF0473"/>
    <w:rsid w:val="00F01DBB"/>
    <w:rsid w:val="00F05A66"/>
    <w:rsid w:val="00F21077"/>
    <w:rsid w:val="00F32074"/>
    <w:rsid w:val="00F3289B"/>
    <w:rsid w:val="00F408F7"/>
    <w:rsid w:val="00F46763"/>
    <w:rsid w:val="00F850B1"/>
    <w:rsid w:val="00FC653C"/>
    <w:rsid w:val="00FE0D16"/>
    <w:rsid w:val="00FF0BA6"/>
    <w:rsid w:val="00FF381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62B2"/>
    <w:rPr>
      <w:color w:val="0000FF"/>
      <w:u w:val="single"/>
    </w:rPr>
  </w:style>
  <w:style w:type="paragraph" w:styleId="Header">
    <w:name w:val="header"/>
    <w:basedOn w:val="Normal"/>
    <w:rsid w:val="002C13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3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A6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E0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BC8"/>
    <w:rPr>
      <w:sz w:val="20"/>
    </w:rPr>
  </w:style>
  <w:style w:type="character" w:customStyle="1" w:styleId="CommentTextChar">
    <w:name w:val="Comment Text Char"/>
    <w:link w:val="CommentText"/>
    <w:rsid w:val="00AE0BC8"/>
    <w:rPr>
      <w:lang w:val="pl-PL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BC8"/>
    <w:rPr>
      <w:b/>
      <w:bCs/>
    </w:rPr>
  </w:style>
  <w:style w:type="character" w:customStyle="1" w:styleId="CommentSubjectChar">
    <w:name w:val="Comment Subject Char"/>
    <w:link w:val="CommentSubject"/>
    <w:rsid w:val="00AE0BC8"/>
    <w:rPr>
      <w:b/>
      <w:bCs/>
      <w:lang w:val="pl-PL" w:eastAsia="en-GB"/>
    </w:rPr>
  </w:style>
  <w:style w:type="paragraph" w:styleId="ListParagraph">
    <w:name w:val="List Paragraph"/>
    <w:basedOn w:val="Normal"/>
    <w:uiPriority w:val="34"/>
    <w:qFormat/>
    <w:rsid w:val="008B5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62B2"/>
    <w:rPr>
      <w:color w:val="0000FF"/>
      <w:u w:val="single"/>
    </w:rPr>
  </w:style>
  <w:style w:type="paragraph" w:styleId="Header">
    <w:name w:val="header"/>
    <w:basedOn w:val="Normal"/>
    <w:rsid w:val="002C13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3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A6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E0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BC8"/>
    <w:rPr>
      <w:sz w:val="20"/>
    </w:rPr>
  </w:style>
  <w:style w:type="character" w:customStyle="1" w:styleId="CommentTextChar">
    <w:name w:val="Comment Text Char"/>
    <w:link w:val="CommentText"/>
    <w:rsid w:val="00AE0BC8"/>
    <w:rPr>
      <w:lang w:val="pl-PL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BC8"/>
    <w:rPr>
      <w:b/>
      <w:bCs/>
    </w:rPr>
  </w:style>
  <w:style w:type="character" w:customStyle="1" w:styleId="CommentSubjectChar">
    <w:name w:val="Comment Subject Char"/>
    <w:link w:val="CommentSubject"/>
    <w:rsid w:val="00AE0BC8"/>
    <w:rPr>
      <w:b/>
      <w:bCs/>
      <w:lang w:val="pl-PL" w:eastAsia="en-GB"/>
    </w:rPr>
  </w:style>
  <w:style w:type="paragraph" w:styleId="ListParagraph">
    <w:name w:val="List Paragraph"/>
    <w:basedOn w:val="Normal"/>
    <w:uiPriority w:val="34"/>
    <w:qFormat/>
    <w:rsid w:val="008B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galaidboar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sla.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6</Pages>
  <Words>1542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11098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http://www.tusla.ie/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2019-03-13T14:42:00Z</dcterms:created>
  <dcterms:modified xsi:type="dcterms:W3CDTF">2019-03-13T14:42:00Z</dcterms:modified>
</cp:coreProperties>
</file>