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6" w:rsidRPr="00072D28" w:rsidRDefault="00940D76" w:rsidP="0064234E">
      <w:pPr>
        <w:autoSpaceDE w:val="0"/>
        <w:autoSpaceDN w:val="0"/>
        <w:adjustRightInd w:val="0"/>
        <w:outlineLvl w:val="0"/>
        <w:rPr>
          <w:b/>
          <w:bCs/>
        </w:rPr>
      </w:pPr>
      <w:bookmarkStart w:id="0" w:name="_GoBack"/>
      <w:bookmarkEnd w:id="0"/>
      <w:r>
        <w:rPr>
          <w:b/>
          <w:bCs/>
        </w:rPr>
        <w:t xml:space="preserve">ULOTKA Nr 5 - ALIMENTY </w:t>
      </w:r>
    </w:p>
    <w:p w:rsidR="00640449" w:rsidRDefault="00640449" w:rsidP="0064234E">
      <w:pPr>
        <w:autoSpaceDE w:val="0"/>
        <w:autoSpaceDN w:val="0"/>
        <w:adjustRightInd w:val="0"/>
        <w:outlineLvl w:val="0"/>
        <w:rPr>
          <w:b/>
          <w:bCs/>
        </w:rPr>
      </w:pPr>
    </w:p>
    <w:tbl>
      <w:tblPr>
        <w:tblStyle w:val="TableGrid"/>
        <w:tblW w:w="0" w:type="auto"/>
        <w:tblLook w:val="04A0" w:firstRow="1" w:lastRow="0" w:firstColumn="1" w:lastColumn="0" w:noHBand="0" w:noVBand="1"/>
      </w:tblPr>
      <w:tblGrid>
        <w:gridCol w:w="8856"/>
      </w:tblGrid>
      <w:tr w:rsidR="00640449" w:rsidTr="00640449">
        <w:tc>
          <w:tcPr>
            <w:tcW w:w="8856" w:type="dxa"/>
          </w:tcPr>
          <w:p w:rsidR="00640449" w:rsidRDefault="00640449" w:rsidP="0064234E">
            <w:pPr>
              <w:autoSpaceDE w:val="0"/>
              <w:autoSpaceDN w:val="0"/>
              <w:adjustRightInd w:val="0"/>
              <w:outlineLvl w:val="0"/>
              <w:rPr>
                <w:b/>
                <w:bCs/>
              </w:rPr>
            </w:pPr>
            <w:r>
              <w:rPr>
                <w:b/>
                <w:bCs/>
              </w:rPr>
              <w:t xml:space="preserve">Alimenty to wsparcie finansowe wypłacane przez osobę innej osobie (zwykle byłemu współmałżonkowi lub partnerowi cywilnemu lub ich dzieciom). Jeśli dzieci są pod opieką państwa, Agencja ds. dzieci i rodziny może również ubiegać się o alimenty. </w:t>
            </w:r>
          </w:p>
          <w:p w:rsidR="00640449" w:rsidRDefault="00640449" w:rsidP="0064234E">
            <w:pPr>
              <w:autoSpaceDE w:val="0"/>
              <w:autoSpaceDN w:val="0"/>
              <w:adjustRightInd w:val="0"/>
              <w:outlineLvl w:val="0"/>
              <w:rPr>
                <w:b/>
                <w:bCs/>
              </w:rPr>
            </w:pPr>
          </w:p>
          <w:p w:rsidR="003A483E" w:rsidRDefault="003A483E" w:rsidP="0064234E">
            <w:pPr>
              <w:autoSpaceDE w:val="0"/>
              <w:autoSpaceDN w:val="0"/>
              <w:adjustRightInd w:val="0"/>
              <w:outlineLvl w:val="0"/>
              <w:rPr>
                <w:b/>
                <w:bCs/>
              </w:rPr>
            </w:pPr>
            <w:r>
              <w:rPr>
                <w:b/>
                <w:bCs/>
              </w:rPr>
              <w:t>Niniejsza ulotka dotyczy głównie alimentów orzeczonych przez sąd. Możliwe jest również uzgodnienie warunków wypłaty alimentów poza sądem, np. w umowie o separacji lub w mniej nieformalnych porozumieniach.</w:t>
            </w:r>
          </w:p>
        </w:tc>
      </w:tr>
    </w:tbl>
    <w:p w:rsidR="00640449" w:rsidRDefault="00640449" w:rsidP="0064234E">
      <w:pPr>
        <w:autoSpaceDE w:val="0"/>
        <w:autoSpaceDN w:val="0"/>
        <w:adjustRightInd w:val="0"/>
        <w:outlineLvl w:val="0"/>
        <w:rPr>
          <w:b/>
          <w:bCs/>
        </w:rPr>
      </w:pPr>
    </w:p>
    <w:p w:rsidR="00640449" w:rsidRDefault="00640449" w:rsidP="0064234E">
      <w:pPr>
        <w:autoSpaceDE w:val="0"/>
        <w:autoSpaceDN w:val="0"/>
        <w:adjustRightInd w:val="0"/>
        <w:outlineLvl w:val="0"/>
        <w:rPr>
          <w:b/>
          <w:bCs/>
        </w:rPr>
      </w:pPr>
    </w:p>
    <w:p w:rsidR="009A57AC" w:rsidRPr="00072D28" w:rsidRDefault="009A57AC" w:rsidP="0064234E">
      <w:pPr>
        <w:autoSpaceDE w:val="0"/>
        <w:autoSpaceDN w:val="0"/>
        <w:adjustRightInd w:val="0"/>
        <w:outlineLvl w:val="0"/>
        <w:rPr>
          <w:b/>
          <w:bCs/>
        </w:rPr>
      </w:pPr>
      <w:r>
        <w:rPr>
          <w:b/>
          <w:bCs/>
        </w:rPr>
        <w:t>Czym są alimenty?</w:t>
      </w:r>
    </w:p>
    <w:p w:rsidR="00343420" w:rsidRPr="00072D28" w:rsidRDefault="008A4F27" w:rsidP="0064234E">
      <w:pPr>
        <w:autoSpaceDE w:val="0"/>
        <w:autoSpaceDN w:val="0"/>
        <w:adjustRightInd w:val="0"/>
      </w:pPr>
      <w:r>
        <w:t>Małżonkowie / partnerzy w związkach cywilnych są zobowiązani do utrzymywania finansowego drugiej strony, mając na względzie dostępne środki i potrzeby. Alimenty są wsparciem finansowym wypłacanym przez osobę na rzecz współmałżonka / partnera związku cywilnego lub dzieci pozostających na utrzymaniu.</w:t>
      </w:r>
    </w:p>
    <w:p w:rsidR="00640449" w:rsidRDefault="00640449" w:rsidP="0064234E">
      <w:pPr>
        <w:autoSpaceDE w:val="0"/>
        <w:autoSpaceDN w:val="0"/>
        <w:adjustRightInd w:val="0"/>
      </w:pPr>
    </w:p>
    <w:p w:rsidR="00940D76" w:rsidRPr="00072D28" w:rsidRDefault="00343420" w:rsidP="0064234E">
      <w:pPr>
        <w:autoSpaceDE w:val="0"/>
        <w:autoSpaceDN w:val="0"/>
        <w:adjustRightInd w:val="0"/>
      </w:pPr>
      <w:r>
        <w:rPr>
          <w:b/>
        </w:rPr>
        <w:t>Czy można ubiegać się o alimenty od małżonka / partnera cywilnego, nawet jeśli mieszka się z nim?</w:t>
      </w:r>
    </w:p>
    <w:p w:rsidR="00940D76" w:rsidRPr="00072D28" w:rsidRDefault="00940D76" w:rsidP="0064234E">
      <w:pPr>
        <w:autoSpaceDE w:val="0"/>
        <w:autoSpaceDN w:val="0"/>
        <w:adjustRightInd w:val="0"/>
      </w:pPr>
      <w:r>
        <w:t>Współmałżonek / partner w związku cywilnym może ubiegać się o alimenty, nawet jeśli mieszka ze swoim małżonkiem / partnerem.</w:t>
      </w:r>
    </w:p>
    <w:p w:rsidR="00640449" w:rsidRDefault="00640449" w:rsidP="0064234E">
      <w:pPr>
        <w:autoSpaceDE w:val="0"/>
        <w:autoSpaceDN w:val="0"/>
        <w:adjustRightInd w:val="0"/>
        <w:rPr>
          <w:b/>
        </w:rPr>
      </w:pPr>
    </w:p>
    <w:p w:rsidR="00C4225E" w:rsidRPr="00072D28" w:rsidRDefault="00C4225E" w:rsidP="0064234E">
      <w:pPr>
        <w:autoSpaceDE w:val="0"/>
        <w:autoSpaceDN w:val="0"/>
        <w:adjustRightInd w:val="0"/>
        <w:rPr>
          <w:b/>
        </w:rPr>
      </w:pPr>
      <w:r>
        <w:rPr>
          <w:b/>
        </w:rPr>
        <w:t>Czy można ubiegać się o alimenty od mojego byłego partnera, jeśli nie jest się małżeństwem?</w:t>
      </w:r>
    </w:p>
    <w:p w:rsidR="00C4225E" w:rsidRPr="00072D28" w:rsidRDefault="00C4225E" w:rsidP="0064234E">
      <w:pPr>
        <w:autoSpaceDE w:val="0"/>
        <w:autoSpaceDN w:val="0"/>
        <w:adjustRightInd w:val="0"/>
      </w:pPr>
      <w:r>
        <w:t xml:space="preserve">W takich okolicznościach można z reguły ubiegać się wyłącznie o alimenty na utrzymanie dzieci. </w:t>
      </w:r>
    </w:p>
    <w:p w:rsidR="00640449" w:rsidRDefault="00640449" w:rsidP="0064234E">
      <w:pPr>
        <w:autoSpaceDE w:val="0"/>
        <w:autoSpaceDN w:val="0"/>
        <w:adjustRightInd w:val="0"/>
      </w:pPr>
    </w:p>
    <w:p w:rsidR="00C4225E" w:rsidRPr="00072D28" w:rsidRDefault="00C4225E" w:rsidP="0064234E">
      <w:pPr>
        <w:autoSpaceDE w:val="0"/>
        <w:autoSpaceDN w:val="0"/>
        <w:adjustRightInd w:val="0"/>
      </w:pPr>
      <w:r>
        <w:t>Jednakże, jeśli dana osoba jest „kwalifikowanym konkubentem,” może ubiegać się o alimenty dla siebie. Aby być „kwalifikowanym konkubentem,” należy mieszkać ze swoim byłym partnerem przez co najmniej dwa lata, jeśli są dzieci lub co najmniej pięć lat, jeśli nie ma dzieci. Ponadto żaden z partnerów nie może być w związku małżeńskim z inną osobą, lub jeśli któryś z partnerów jest w związku małżeńskim, musi mieszkać z dala od współmałżonka przez co najmniej cztery z ostatnich pięciu lat. Więcej informacji znajduje się w </w:t>
      </w:r>
      <w:r>
        <w:rPr>
          <w:b/>
        </w:rPr>
        <w:t>ulotce nr 14 - Prawa konkubentów</w:t>
      </w:r>
      <w:r>
        <w:t>.</w:t>
      </w:r>
    </w:p>
    <w:p w:rsidR="00640449" w:rsidRDefault="00640449" w:rsidP="0064234E">
      <w:pPr>
        <w:autoSpaceDE w:val="0"/>
        <w:autoSpaceDN w:val="0"/>
        <w:adjustRightInd w:val="0"/>
        <w:rPr>
          <w:b/>
        </w:rPr>
      </w:pPr>
    </w:p>
    <w:p w:rsidR="00343420" w:rsidRPr="00072D28" w:rsidRDefault="00343420" w:rsidP="0064234E">
      <w:pPr>
        <w:autoSpaceDE w:val="0"/>
        <w:autoSpaceDN w:val="0"/>
        <w:adjustRightInd w:val="0"/>
        <w:rPr>
          <w:b/>
        </w:rPr>
      </w:pPr>
      <w:r>
        <w:rPr>
          <w:b/>
        </w:rPr>
        <w:t>Kto jest odpowiedzialny za utrzymanie dzieci?</w:t>
      </w:r>
    </w:p>
    <w:p w:rsidR="00940D76" w:rsidRPr="00072D28" w:rsidRDefault="00896045" w:rsidP="0064234E">
      <w:pPr>
        <w:autoSpaceDE w:val="0"/>
        <w:autoSpaceDN w:val="0"/>
        <w:adjustRightInd w:val="0"/>
      </w:pPr>
      <w:r>
        <w:t>Oboje rodzice, pozostający w związku małżeńskim lub nie, są odpowiedzialni za utrzymanie swoich dzieci.</w:t>
      </w:r>
    </w:p>
    <w:p w:rsidR="00640449" w:rsidRDefault="00640449" w:rsidP="0064234E">
      <w:pPr>
        <w:autoSpaceDE w:val="0"/>
        <w:autoSpaceDN w:val="0"/>
        <w:adjustRightInd w:val="0"/>
        <w:rPr>
          <w:b/>
        </w:rPr>
      </w:pPr>
    </w:p>
    <w:p w:rsidR="00E260BA" w:rsidRPr="00072D28" w:rsidRDefault="006F61BF" w:rsidP="0064234E">
      <w:pPr>
        <w:autoSpaceDE w:val="0"/>
        <w:autoSpaceDN w:val="0"/>
        <w:adjustRightInd w:val="0"/>
        <w:rPr>
          <w:b/>
        </w:rPr>
      </w:pPr>
      <w:r>
        <w:rPr>
          <w:b/>
        </w:rPr>
        <w:t>Kto może ubiegać się o alimenty dla dziecka?</w:t>
      </w:r>
    </w:p>
    <w:p w:rsidR="00940D76" w:rsidRDefault="00940D76" w:rsidP="00AD3BCB">
      <w:r>
        <w:lastRenderedPageBreak/>
        <w:t xml:space="preserve">Rodzic, opiekun prawny, Agencja ds. dzieci i rodziny </w:t>
      </w:r>
      <w:r>
        <w:rPr>
          <w:color w:val="222222"/>
        </w:rPr>
        <w:t>(Tusla)</w:t>
      </w:r>
      <w:r>
        <w:t xml:space="preserve"> lub każda osoba posiadająca osobowość prawną w stosunku do dziecka pozostającego na utrzymaniu, może ubiegać się o alimenty na to dziecko.</w:t>
      </w:r>
    </w:p>
    <w:p w:rsidR="00AD3BCB" w:rsidRPr="00072D28" w:rsidRDefault="00AD3BCB" w:rsidP="00AD3BCB"/>
    <w:p w:rsidR="006F61BF" w:rsidRPr="00072D28" w:rsidRDefault="00F36925" w:rsidP="0064234E">
      <w:pPr>
        <w:autoSpaceDE w:val="0"/>
        <w:autoSpaceDN w:val="0"/>
        <w:adjustRightInd w:val="0"/>
      </w:pPr>
      <w:r>
        <w:t>Dziecko pozostające na utrzymaniu, to:</w:t>
      </w:r>
    </w:p>
    <w:p w:rsidR="006F61BF" w:rsidRPr="00072D28" w:rsidRDefault="00940D76" w:rsidP="00592F6E">
      <w:pPr>
        <w:numPr>
          <w:ilvl w:val="0"/>
          <w:numId w:val="4"/>
        </w:numPr>
        <w:autoSpaceDE w:val="0"/>
        <w:autoSpaceDN w:val="0"/>
        <w:adjustRightInd w:val="0"/>
      </w:pPr>
      <w:r>
        <w:t>osoba w wieku poniżej osiemnastu lat;</w:t>
      </w:r>
    </w:p>
    <w:p w:rsidR="006F61BF" w:rsidRPr="00072D28" w:rsidRDefault="00940D76" w:rsidP="00592F6E">
      <w:pPr>
        <w:numPr>
          <w:ilvl w:val="0"/>
          <w:numId w:val="4"/>
        </w:numPr>
        <w:autoSpaceDE w:val="0"/>
        <w:autoSpaceDN w:val="0"/>
        <w:adjustRightInd w:val="0"/>
      </w:pPr>
      <w:r>
        <w:t xml:space="preserve">osoba w wieku poniżej dwudziestu trzech lat, która kształci się w pełnym wymiarze godzin, lub  </w:t>
      </w:r>
    </w:p>
    <w:p w:rsidR="00940D76" w:rsidRPr="00072D28" w:rsidRDefault="00940D76" w:rsidP="00592F6E">
      <w:pPr>
        <w:numPr>
          <w:ilvl w:val="0"/>
          <w:numId w:val="4"/>
        </w:numPr>
        <w:autoSpaceDE w:val="0"/>
        <w:autoSpaceDN w:val="0"/>
        <w:adjustRightInd w:val="0"/>
      </w:pPr>
      <w:r>
        <w:t xml:space="preserve"> osoba zależna od swoich rodziców z powodu niepełnosprawności.</w:t>
      </w:r>
    </w:p>
    <w:p w:rsidR="00640449" w:rsidRDefault="00640449" w:rsidP="0064234E">
      <w:pPr>
        <w:autoSpaceDE w:val="0"/>
        <w:autoSpaceDN w:val="0"/>
        <w:adjustRightInd w:val="0"/>
        <w:outlineLvl w:val="0"/>
        <w:rPr>
          <w:b/>
          <w:bCs/>
        </w:rPr>
      </w:pPr>
    </w:p>
    <w:p w:rsidR="009E0679" w:rsidRPr="00072D28" w:rsidRDefault="009E0679" w:rsidP="0064234E">
      <w:pPr>
        <w:autoSpaceDE w:val="0"/>
        <w:autoSpaceDN w:val="0"/>
        <w:adjustRightInd w:val="0"/>
        <w:outlineLvl w:val="0"/>
        <w:rPr>
          <w:b/>
          <w:bCs/>
        </w:rPr>
      </w:pPr>
      <w:r>
        <w:rPr>
          <w:b/>
          <w:bCs/>
        </w:rPr>
        <w:t>Co zrobić, jeśli nie można dojść do porozumienia w sprawie alimentów?</w:t>
      </w:r>
    </w:p>
    <w:p w:rsidR="009E0679" w:rsidRPr="00072D28" w:rsidRDefault="00F21EE4" w:rsidP="0064234E">
      <w:pPr>
        <w:autoSpaceDE w:val="0"/>
        <w:autoSpaceDN w:val="0"/>
        <w:adjustRightInd w:val="0"/>
      </w:pPr>
      <w:r>
        <w:t xml:space="preserve">W takim przypadku należy złożyć wniosek do sądu. Można złożyć wniosek do sądu rejonowego lub okręgowego. To do jakiego sądu się zwrócić zależy od </w:t>
      </w:r>
      <w:r>
        <w:rPr>
          <w:b/>
        </w:rPr>
        <w:t>kwoty</w:t>
      </w:r>
      <w:r>
        <w:t xml:space="preserve"> alimentów.</w:t>
      </w:r>
    </w:p>
    <w:p w:rsidR="00640449" w:rsidRDefault="00640449" w:rsidP="0064234E">
      <w:pPr>
        <w:autoSpaceDE w:val="0"/>
        <w:autoSpaceDN w:val="0"/>
        <w:adjustRightInd w:val="0"/>
        <w:rPr>
          <w:b/>
        </w:rPr>
      </w:pPr>
    </w:p>
    <w:p w:rsidR="006A2E52" w:rsidRPr="00072D28" w:rsidRDefault="009E0679" w:rsidP="0064234E">
      <w:pPr>
        <w:autoSpaceDE w:val="0"/>
        <w:autoSpaceDN w:val="0"/>
        <w:adjustRightInd w:val="0"/>
        <w:rPr>
          <w:b/>
        </w:rPr>
      </w:pPr>
      <w:r>
        <w:rPr>
          <w:b/>
        </w:rPr>
        <w:t xml:space="preserve">Sąd rejonowy </w:t>
      </w:r>
    </w:p>
    <w:p w:rsidR="009E0679" w:rsidRPr="00072D28" w:rsidRDefault="006A2E52" w:rsidP="0064234E">
      <w:pPr>
        <w:autoSpaceDE w:val="0"/>
        <w:autoSpaceDN w:val="0"/>
        <w:adjustRightInd w:val="0"/>
      </w:pPr>
      <w:r>
        <w:t>Obecnie Sąd rejonowy może przyznać każdą kwotę do wysokości €500 tygodniowo na współmałżonka / partnera związku cywilnego i €150 na tydzień na każde dziecko.</w:t>
      </w:r>
    </w:p>
    <w:p w:rsidR="00640449" w:rsidRDefault="00640449" w:rsidP="0064234E">
      <w:pPr>
        <w:autoSpaceDE w:val="0"/>
        <w:autoSpaceDN w:val="0"/>
        <w:adjustRightInd w:val="0"/>
        <w:rPr>
          <w:b/>
        </w:rPr>
      </w:pPr>
    </w:p>
    <w:p w:rsidR="009E0679" w:rsidRPr="00072D28" w:rsidRDefault="009E0679" w:rsidP="0064234E">
      <w:pPr>
        <w:autoSpaceDE w:val="0"/>
        <w:autoSpaceDN w:val="0"/>
        <w:adjustRightInd w:val="0"/>
        <w:rPr>
          <w:b/>
        </w:rPr>
      </w:pPr>
      <w:r>
        <w:rPr>
          <w:b/>
        </w:rPr>
        <w:t>Sąd okręgowy</w:t>
      </w:r>
    </w:p>
    <w:p w:rsidR="009E0679" w:rsidRPr="00072D28" w:rsidRDefault="00EB32E0" w:rsidP="0064234E">
      <w:pPr>
        <w:autoSpaceDE w:val="0"/>
        <w:autoSpaceDN w:val="0"/>
        <w:adjustRightInd w:val="0"/>
      </w:pPr>
      <w:r>
        <w:t>Należy złożyć wniosek do Sądu okręgowego, jeśli wnioskuje się o więcej niż €500 na współmałżonka / partnera związku cywilnego i więcej niż €150 na tydzień na każde dziecko.</w:t>
      </w:r>
    </w:p>
    <w:p w:rsidR="00640449" w:rsidRDefault="00640449" w:rsidP="0064234E">
      <w:pPr>
        <w:autoSpaceDE w:val="0"/>
        <w:autoSpaceDN w:val="0"/>
        <w:adjustRightInd w:val="0"/>
        <w:rPr>
          <w:b/>
        </w:rPr>
      </w:pPr>
    </w:p>
    <w:p w:rsidR="00F54876" w:rsidRPr="00072D28" w:rsidRDefault="00F54876" w:rsidP="0064234E">
      <w:pPr>
        <w:autoSpaceDE w:val="0"/>
        <w:autoSpaceDN w:val="0"/>
        <w:adjustRightInd w:val="0"/>
        <w:rPr>
          <w:b/>
        </w:rPr>
      </w:pPr>
      <w:r>
        <w:rPr>
          <w:b/>
        </w:rPr>
        <w:t>Czy zarówno Sąd rejonowy, jak i Sąd Okręgowy może orzec o jednorazowej wypłacie sumy alimentów?</w:t>
      </w:r>
    </w:p>
    <w:p w:rsidR="00794940" w:rsidRDefault="00940D76" w:rsidP="0064234E">
      <w:pPr>
        <w:autoSpaceDE w:val="0"/>
        <w:autoSpaceDN w:val="0"/>
        <w:adjustRightInd w:val="0"/>
      </w:pPr>
      <w:r>
        <w:t>Zarówno Sąd rejonowy, jak i Sąd okręgowy może wydać orzeczenie o jednorazowej wypłacie sumy alimentów, chociaż obecnie Sąd rejonowy nie może wydać orzeczenia na kwotę przekraczającą €15000.</w:t>
      </w:r>
    </w:p>
    <w:p w:rsidR="00AD3BCB" w:rsidRPr="00072D28" w:rsidRDefault="00AD3BCB" w:rsidP="0064234E">
      <w:pPr>
        <w:autoSpaceDE w:val="0"/>
        <w:autoSpaceDN w:val="0"/>
        <w:adjustRightInd w:val="0"/>
      </w:pPr>
    </w:p>
    <w:p w:rsidR="00940D76" w:rsidRPr="00072D28" w:rsidRDefault="0032148F" w:rsidP="0064234E">
      <w:pPr>
        <w:autoSpaceDE w:val="0"/>
        <w:autoSpaceDN w:val="0"/>
        <w:adjustRightInd w:val="0"/>
        <w:outlineLvl w:val="0"/>
        <w:rPr>
          <w:b/>
          <w:bCs/>
        </w:rPr>
      </w:pPr>
      <w:r>
        <w:rPr>
          <w:b/>
          <w:bCs/>
        </w:rPr>
        <w:t>Jak wypłaca się alimenty?</w:t>
      </w:r>
    </w:p>
    <w:p w:rsidR="003A483E" w:rsidRDefault="0032148F" w:rsidP="0064234E">
      <w:pPr>
        <w:autoSpaceDE w:val="0"/>
        <w:autoSpaceDN w:val="0"/>
        <w:adjustRightInd w:val="0"/>
        <w:outlineLvl w:val="0"/>
      </w:pPr>
      <w:r>
        <w:rPr>
          <w:b/>
          <w:bCs/>
        </w:rPr>
        <w:t>Nakaz alimentacyjny</w:t>
      </w:r>
      <w:r>
        <w:t xml:space="preserve"> może wymagać, aby jedna osoba płaciła alimenty bezpośrednio drugiej osobie gotówką lub na rachunek bankowy lub na inny rachunek. </w:t>
      </w:r>
    </w:p>
    <w:p w:rsidR="003A483E" w:rsidRDefault="003A483E" w:rsidP="0064234E">
      <w:pPr>
        <w:autoSpaceDE w:val="0"/>
        <w:autoSpaceDN w:val="0"/>
        <w:adjustRightInd w:val="0"/>
        <w:outlineLvl w:val="0"/>
      </w:pPr>
    </w:p>
    <w:p w:rsidR="003A483E" w:rsidRDefault="00602F93" w:rsidP="0064234E">
      <w:pPr>
        <w:autoSpaceDE w:val="0"/>
        <w:autoSpaceDN w:val="0"/>
        <w:adjustRightInd w:val="0"/>
        <w:outlineLvl w:val="0"/>
      </w:pPr>
      <w:r>
        <w:t>Sąd może również nakazać wpłatę alimentów do urzędnika Sądu rejonowego, który następnie przekazuje je właściwej osobie. Obecnie bardziej powszechne są decyzje sądu, aby alimenty były płatne bezpośrednio na rzecz drugiej osoby, a nie przekazywane za pośrednictwem urzędnika Sądu rejonowego.</w:t>
      </w:r>
    </w:p>
    <w:p w:rsidR="003A483E" w:rsidRPr="00072D28" w:rsidRDefault="003A483E" w:rsidP="0064234E">
      <w:pPr>
        <w:autoSpaceDE w:val="0"/>
        <w:autoSpaceDN w:val="0"/>
        <w:adjustRightInd w:val="0"/>
        <w:outlineLvl w:val="0"/>
      </w:pPr>
    </w:p>
    <w:p w:rsidR="00E260BA" w:rsidRPr="00072D28" w:rsidRDefault="00DA07FB" w:rsidP="0064234E">
      <w:pPr>
        <w:tabs>
          <w:tab w:val="left" w:pos="7667"/>
        </w:tabs>
        <w:autoSpaceDE w:val="0"/>
        <w:autoSpaceDN w:val="0"/>
        <w:adjustRightInd w:val="0"/>
      </w:pPr>
      <w:r>
        <w:rPr>
          <w:b/>
          <w:bCs/>
        </w:rPr>
        <w:t>Co zrobić, jeśli należne alimenty nie są wypłacane?</w:t>
      </w:r>
    </w:p>
    <w:p w:rsidR="00940D76" w:rsidRPr="00072D28" w:rsidRDefault="00FA21BD" w:rsidP="0064234E">
      <w:pPr>
        <w:tabs>
          <w:tab w:val="left" w:pos="7667"/>
        </w:tabs>
        <w:autoSpaceDE w:val="0"/>
        <w:autoSpaceDN w:val="0"/>
        <w:adjustRightInd w:val="0"/>
      </w:pPr>
      <w:r>
        <w:t>Jeśli alimenty nie zostaną wypłacone, można złożyć wniosek do sądu o:</w:t>
      </w:r>
    </w:p>
    <w:p w:rsidR="00940D76" w:rsidRPr="00072D28" w:rsidRDefault="00940D76" w:rsidP="0064234E">
      <w:pPr>
        <w:numPr>
          <w:ilvl w:val="0"/>
          <w:numId w:val="4"/>
        </w:numPr>
        <w:autoSpaceDE w:val="0"/>
        <w:autoSpaceDN w:val="0"/>
        <w:adjustRightInd w:val="0"/>
      </w:pPr>
      <w:r>
        <w:t xml:space="preserve">zajęcie wynagrodzenia. Można to zrobić tylko, jeśli strona płacąca jest zatrudniona. Zajęcie zarobków nakłada obowiązek na pracodawcę </w:t>
      </w:r>
      <w:r>
        <w:lastRenderedPageBreak/>
        <w:t>potrącenia alimentów z wynagrodzenia i przesłanie kwoty do urzędnika sądowego lub strony otrzymującej alimenty, lub</w:t>
      </w:r>
    </w:p>
    <w:p w:rsidR="00940D76" w:rsidRPr="00072D28" w:rsidRDefault="00940D76" w:rsidP="0064234E">
      <w:pPr>
        <w:numPr>
          <w:ilvl w:val="0"/>
          <w:numId w:val="4"/>
        </w:numPr>
        <w:autoSpaceDE w:val="0"/>
        <w:autoSpaceDN w:val="0"/>
        <w:adjustRightInd w:val="0"/>
      </w:pPr>
      <w:r>
        <w:t>tytuł wykonawczy dla zaległości z tytułu alimentów. Tytuł wykonawczy można wydać, bez względu na to, czy płatnik jest zatrudniony, czy też nie. Sąd może wydać nakaz aresztowania płacącego alimenty, jeżeli nie stawi się on w sądzie po doręczeniu mu zawiadomienia o postępowaniu egzekucyjnym. Ostateczna sankcja polega na uwięzieniu płatnika alimentów, jeżeli zostanie udowodnione przed sądem, że płatnik unika zapłacenia alimentów, mimo, że jest w stanie zapłacić.</w:t>
      </w:r>
    </w:p>
    <w:p w:rsidR="00BF2184" w:rsidRDefault="00BF2184">
      <w:pPr>
        <w:rPr>
          <w:b/>
          <w:bCs/>
        </w:rPr>
      </w:pPr>
      <w:r>
        <w:br w:type="page"/>
      </w:r>
    </w:p>
    <w:p w:rsidR="00770CF7" w:rsidRPr="00072D28" w:rsidRDefault="00940D76" w:rsidP="0064234E">
      <w:pPr>
        <w:autoSpaceDE w:val="0"/>
        <w:autoSpaceDN w:val="0"/>
        <w:adjustRightInd w:val="0"/>
        <w:outlineLvl w:val="0"/>
        <w:rPr>
          <w:b/>
          <w:bCs/>
        </w:rPr>
      </w:pPr>
      <w:r>
        <w:rPr>
          <w:b/>
          <w:bCs/>
        </w:rPr>
        <w:lastRenderedPageBreak/>
        <w:t>Świadczenia z opieki społecznej</w:t>
      </w:r>
    </w:p>
    <w:p w:rsidR="00602F93" w:rsidRPr="00072D28" w:rsidRDefault="00F65D57" w:rsidP="0064234E">
      <w:pPr>
        <w:autoSpaceDE w:val="0"/>
        <w:autoSpaceDN w:val="0"/>
        <w:adjustRightInd w:val="0"/>
      </w:pPr>
      <w:r>
        <w:t xml:space="preserve">Jeśli osoba zwróci się do Wydziału opieki społecznej o wypłatę świadczeń socjalnych, może zostać poproszona o złożenie wniosku o alimenty, w sytuacji jeśli ma prawo do alimentów, ale ich nie otrzymuje. </w:t>
      </w:r>
    </w:p>
    <w:p w:rsidR="00640449" w:rsidRDefault="00640449" w:rsidP="0064234E">
      <w:pPr>
        <w:autoSpaceDE w:val="0"/>
        <w:autoSpaceDN w:val="0"/>
        <w:adjustRightInd w:val="0"/>
        <w:outlineLvl w:val="0"/>
        <w:rPr>
          <w:b/>
          <w:bCs/>
        </w:rPr>
      </w:pPr>
    </w:p>
    <w:p w:rsidR="00F65D57" w:rsidRPr="00072D28" w:rsidRDefault="003325B2" w:rsidP="0064234E">
      <w:pPr>
        <w:autoSpaceDE w:val="0"/>
        <w:autoSpaceDN w:val="0"/>
        <w:adjustRightInd w:val="0"/>
        <w:outlineLvl w:val="0"/>
        <w:rPr>
          <w:b/>
          <w:bCs/>
        </w:rPr>
      </w:pPr>
      <w:r>
        <w:rPr>
          <w:b/>
          <w:bCs/>
        </w:rPr>
        <w:t>Jak można zmienić lub zakończyć wypłatę alimentów?</w:t>
      </w:r>
    </w:p>
    <w:p w:rsidR="00F65D57" w:rsidRPr="00072D28" w:rsidRDefault="00940D76" w:rsidP="0064234E">
      <w:pPr>
        <w:autoSpaceDE w:val="0"/>
        <w:autoSpaceDN w:val="0"/>
        <w:adjustRightInd w:val="0"/>
      </w:pPr>
      <w:r>
        <w:t>Osoba wypłacająca lub pobierająca alimenty może ponownie zwrócić się do sądu, który wydał nakaz alimentacyjny, w sprawie:</w:t>
      </w:r>
    </w:p>
    <w:p w:rsidR="002D584B" w:rsidRPr="00072D28" w:rsidRDefault="00F65D57" w:rsidP="0064234E">
      <w:pPr>
        <w:numPr>
          <w:ilvl w:val="0"/>
          <w:numId w:val="5"/>
        </w:numPr>
        <w:autoSpaceDE w:val="0"/>
        <w:autoSpaceDN w:val="0"/>
        <w:adjustRightInd w:val="0"/>
      </w:pPr>
      <w:r>
        <w:t>zmiany nakazu alimentacyjnego, tj. zmiany wysokości alimentów, na przykład można starać się o podwyższenie kwoty.</w:t>
      </w:r>
    </w:p>
    <w:p w:rsidR="003F3E9D" w:rsidRPr="00072D28" w:rsidRDefault="002D584B" w:rsidP="0064234E">
      <w:pPr>
        <w:numPr>
          <w:ilvl w:val="0"/>
          <w:numId w:val="5"/>
        </w:numPr>
        <w:autoSpaceDE w:val="0"/>
        <w:autoSpaceDN w:val="0"/>
        <w:adjustRightInd w:val="0"/>
      </w:pPr>
      <w:r>
        <w:t xml:space="preserve">zniesienie nakazu alimentacyjnego, co oznacza zakończenie obowiązku zapłaty. Zasadniczo wnioski te składa się w przypadkach, w których od wydania nakazu alimentacyjnego nastąpiła zmiana w okolicznościach życiowych płatnika. </w:t>
      </w:r>
    </w:p>
    <w:p w:rsidR="00894506" w:rsidRPr="00072D28" w:rsidRDefault="00896045" w:rsidP="00894506">
      <w:pPr>
        <w:numPr>
          <w:ilvl w:val="0"/>
          <w:numId w:val="5"/>
        </w:numPr>
        <w:autoSpaceDE w:val="0"/>
        <w:autoSpaceDN w:val="0"/>
        <w:adjustRightInd w:val="0"/>
      </w:pPr>
      <w:r>
        <w:t>Jeżeli składany jest wniosek o zniesienie nakazu, ponieważ osoba wypłacająca alimenty nie jest w stanie ich zapłacić, taka osoba będzie musiała udowodnić to przed sądem.</w:t>
      </w:r>
    </w:p>
    <w:p w:rsidR="00640449" w:rsidRDefault="00640449" w:rsidP="0064234E">
      <w:pPr>
        <w:autoSpaceDE w:val="0"/>
        <w:autoSpaceDN w:val="0"/>
        <w:adjustRightInd w:val="0"/>
        <w:outlineLvl w:val="0"/>
        <w:rPr>
          <w:b/>
          <w:bCs/>
        </w:rPr>
      </w:pPr>
    </w:p>
    <w:p w:rsidR="00894506" w:rsidRPr="00403357" w:rsidRDefault="00894506" w:rsidP="0064234E">
      <w:pPr>
        <w:autoSpaceDE w:val="0"/>
        <w:autoSpaceDN w:val="0"/>
        <w:adjustRightInd w:val="0"/>
        <w:outlineLvl w:val="0"/>
        <w:rPr>
          <w:bCs/>
        </w:rPr>
      </w:pPr>
      <w:r>
        <w:t>Sąd może również zadecydować o zmianie alimentów przy rozpatrywaniu wniosku o egzekucję i stanie się oczywiste, że okoliczności uległy zmianie od momentu wydania nakazu alimentacyjnego.</w:t>
      </w:r>
    </w:p>
    <w:p w:rsidR="00640449" w:rsidRDefault="00640449" w:rsidP="0064234E">
      <w:pPr>
        <w:autoSpaceDE w:val="0"/>
        <w:autoSpaceDN w:val="0"/>
        <w:adjustRightInd w:val="0"/>
        <w:outlineLvl w:val="0"/>
        <w:rPr>
          <w:b/>
          <w:bCs/>
        </w:rPr>
      </w:pPr>
    </w:p>
    <w:p w:rsidR="00473689" w:rsidRPr="00072D28" w:rsidRDefault="00473689" w:rsidP="0064234E">
      <w:pPr>
        <w:autoSpaceDE w:val="0"/>
        <w:autoSpaceDN w:val="0"/>
        <w:adjustRightInd w:val="0"/>
        <w:outlineLvl w:val="0"/>
        <w:rPr>
          <w:b/>
          <w:bCs/>
        </w:rPr>
      </w:pPr>
      <w:r>
        <w:rPr>
          <w:b/>
          <w:bCs/>
        </w:rPr>
        <w:t>Czy można uzyskać alimenty od osób mieszkających w innych krajach?</w:t>
      </w:r>
    </w:p>
    <w:p w:rsidR="00F430C6" w:rsidRDefault="00940D76" w:rsidP="0064234E">
      <w:pPr>
        <w:autoSpaceDE w:val="0"/>
        <w:autoSpaceDN w:val="0"/>
        <w:adjustRightInd w:val="0"/>
      </w:pPr>
      <w:r>
        <w:t>Możliwe jest uzyskanie i egzekwowanie alimentów od osób mieszkających w </w:t>
      </w:r>
      <w:r>
        <w:rPr>
          <w:b/>
        </w:rPr>
        <w:t>niektórych</w:t>
      </w:r>
      <w:r>
        <w:t xml:space="preserve"> krajach. Więcej informacji na temat uzyskania alimentów od współmałżonka lub partnera mieszkającego za granicą można uzyskać w lokalnym centrum prawnym.</w:t>
      </w:r>
    </w:p>
    <w:p w:rsidR="003A483E" w:rsidRPr="00072D28" w:rsidRDefault="003A483E" w:rsidP="0064234E">
      <w:pPr>
        <w:autoSpaceDE w:val="0"/>
        <w:autoSpaceDN w:val="0"/>
        <w:adjustRightInd w:val="0"/>
      </w:pPr>
    </w:p>
    <w:p w:rsidR="008A4F27" w:rsidRPr="00072D28" w:rsidRDefault="008A4F27" w:rsidP="0064234E">
      <w:pPr>
        <w:rPr>
          <w:bCs/>
        </w:rPr>
      </w:pPr>
      <w:r>
        <w:t>Centrala: Legal Aid Board, Quay Street, Cahirciveen, Co. Kerry, V23 RD36.</w:t>
      </w:r>
    </w:p>
    <w:p w:rsidR="008A4F27" w:rsidRPr="00072D28" w:rsidRDefault="008A4F27" w:rsidP="0064234E">
      <w:r>
        <w:t xml:space="preserve">Tel:  (066) 947 1000    </w:t>
      </w:r>
    </w:p>
    <w:p w:rsidR="008A4F27" w:rsidRPr="00072D28" w:rsidRDefault="008A4F27" w:rsidP="0064234E">
      <w:r>
        <w:t>Faks: (066) 947 1035</w:t>
      </w:r>
    </w:p>
    <w:p w:rsidR="008A4F27" w:rsidRPr="00072D28" w:rsidRDefault="008A4F27" w:rsidP="0064234E">
      <w:r>
        <w:t>Infolinia: 1890 615 2000</w:t>
      </w:r>
    </w:p>
    <w:p w:rsidR="00317D31" w:rsidRPr="00072D28" w:rsidRDefault="008A4F27" w:rsidP="0064234E">
      <w:r>
        <w:t xml:space="preserve">Witryna internetowa: </w:t>
      </w:r>
      <w:hyperlink r:id="rId9" w:history="1">
        <w:r>
          <w:rPr>
            <w:rStyle w:val="Hyperlink"/>
          </w:rPr>
          <w:t>www.legalaidboard.ie</w:t>
        </w:r>
      </w:hyperlink>
    </w:p>
    <w:sectPr w:rsidR="00317D31" w:rsidRPr="00072D28" w:rsidSect="00940D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F7" w:rsidRDefault="005F32F7">
      <w:r>
        <w:separator/>
      </w:r>
    </w:p>
  </w:endnote>
  <w:endnote w:type="continuationSeparator" w:id="0">
    <w:p w:rsidR="005F32F7" w:rsidRDefault="005F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F7" w:rsidRDefault="005F32F7">
      <w:r>
        <w:separator/>
      </w:r>
    </w:p>
  </w:footnote>
  <w:footnote w:type="continuationSeparator" w:id="0">
    <w:p w:rsidR="005F32F7" w:rsidRDefault="005F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C427DC"/>
    <w:lvl w:ilvl="0">
      <w:start w:val="1"/>
      <w:numFmt w:val="bullet"/>
      <w:lvlText w:val=""/>
      <w:lvlJc w:val="left"/>
      <w:pPr>
        <w:tabs>
          <w:tab w:val="num" w:pos="926"/>
        </w:tabs>
        <w:ind w:left="926" w:hanging="360"/>
      </w:pPr>
      <w:rPr>
        <w:rFonts w:ascii="Symbol" w:hAnsi="Symbol" w:hint="default"/>
      </w:rPr>
    </w:lvl>
  </w:abstractNum>
  <w:abstractNum w:abstractNumId="1">
    <w:nsid w:val="092C0BF9"/>
    <w:multiLevelType w:val="hybridMultilevel"/>
    <w:tmpl w:val="E7D0B310"/>
    <w:lvl w:ilvl="0" w:tplc="40F68FB4">
      <w:start w:val="1"/>
      <w:numFmt w:val="bullet"/>
      <w:pStyle w:val="ListBullet3"/>
      <w:lvlText w:val=""/>
      <w:lvlJc w:val="left"/>
      <w:pPr>
        <w:tabs>
          <w:tab w:val="num" w:pos="926"/>
        </w:tabs>
        <w:ind w:left="92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077057"/>
    <w:multiLevelType w:val="hybridMultilevel"/>
    <w:tmpl w:val="03727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0F4407D"/>
    <w:multiLevelType w:val="hybridMultilevel"/>
    <w:tmpl w:val="929CE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2957375"/>
    <w:multiLevelType w:val="hybridMultilevel"/>
    <w:tmpl w:val="94FA9DA8"/>
    <w:lvl w:ilvl="0" w:tplc="2B188E3C">
      <w:start w:val="1"/>
      <w:numFmt w:val="bullet"/>
      <w:lvlText w:val=""/>
      <w:lvlJc w:val="left"/>
      <w:pPr>
        <w:tabs>
          <w:tab w:val="num" w:pos="941"/>
        </w:tabs>
        <w:ind w:left="600" w:firstLine="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36BA8"/>
    <w:rsid w:val="00055BFD"/>
    <w:rsid w:val="00065A29"/>
    <w:rsid w:val="00067762"/>
    <w:rsid w:val="00072D28"/>
    <w:rsid w:val="0008459D"/>
    <w:rsid w:val="000E11DB"/>
    <w:rsid w:val="001300DF"/>
    <w:rsid w:val="00161BE1"/>
    <w:rsid w:val="0016508E"/>
    <w:rsid w:val="0017013C"/>
    <w:rsid w:val="001769D7"/>
    <w:rsid w:val="001810B3"/>
    <w:rsid w:val="001C4562"/>
    <w:rsid w:val="001E269E"/>
    <w:rsid w:val="00225D57"/>
    <w:rsid w:val="002321BD"/>
    <w:rsid w:val="002503FD"/>
    <w:rsid w:val="002D584B"/>
    <w:rsid w:val="00301C3B"/>
    <w:rsid w:val="00307C2F"/>
    <w:rsid w:val="00317D31"/>
    <w:rsid w:val="0032148F"/>
    <w:rsid w:val="003325B2"/>
    <w:rsid w:val="00343420"/>
    <w:rsid w:val="00355A99"/>
    <w:rsid w:val="0038772D"/>
    <w:rsid w:val="003A415F"/>
    <w:rsid w:val="003A483E"/>
    <w:rsid w:val="003A59CE"/>
    <w:rsid w:val="003B0518"/>
    <w:rsid w:val="003C64E3"/>
    <w:rsid w:val="003E046C"/>
    <w:rsid w:val="003F3E9D"/>
    <w:rsid w:val="00403357"/>
    <w:rsid w:val="00404CD8"/>
    <w:rsid w:val="004227C4"/>
    <w:rsid w:val="0043291B"/>
    <w:rsid w:val="0043355F"/>
    <w:rsid w:val="004378D1"/>
    <w:rsid w:val="004525FC"/>
    <w:rsid w:val="0045430F"/>
    <w:rsid w:val="0047227B"/>
    <w:rsid w:val="00472B23"/>
    <w:rsid w:val="00473689"/>
    <w:rsid w:val="004862D4"/>
    <w:rsid w:val="00496425"/>
    <w:rsid w:val="004B445A"/>
    <w:rsid w:val="004D65EF"/>
    <w:rsid w:val="00543719"/>
    <w:rsid w:val="0056192F"/>
    <w:rsid w:val="00585453"/>
    <w:rsid w:val="00586E24"/>
    <w:rsid w:val="00592F6E"/>
    <w:rsid w:val="005938DF"/>
    <w:rsid w:val="005B29B0"/>
    <w:rsid w:val="005F32F7"/>
    <w:rsid w:val="005F4817"/>
    <w:rsid w:val="00600573"/>
    <w:rsid w:val="00602F93"/>
    <w:rsid w:val="00640449"/>
    <w:rsid w:val="0064234E"/>
    <w:rsid w:val="00647703"/>
    <w:rsid w:val="00681F8F"/>
    <w:rsid w:val="006A2E52"/>
    <w:rsid w:val="006A351D"/>
    <w:rsid w:val="006D4292"/>
    <w:rsid w:val="006F61BF"/>
    <w:rsid w:val="00734F55"/>
    <w:rsid w:val="007428D0"/>
    <w:rsid w:val="007514EE"/>
    <w:rsid w:val="00765F37"/>
    <w:rsid w:val="00770CF7"/>
    <w:rsid w:val="00794940"/>
    <w:rsid w:val="007A07F9"/>
    <w:rsid w:val="007B0094"/>
    <w:rsid w:val="007B0C95"/>
    <w:rsid w:val="007E32BF"/>
    <w:rsid w:val="007F7319"/>
    <w:rsid w:val="00851B81"/>
    <w:rsid w:val="008575B1"/>
    <w:rsid w:val="00866D37"/>
    <w:rsid w:val="00894506"/>
    <w:rsid w:val="00896045"/>
    <w:rsid w:val="008A1CCD"/>
    <w:rsid w:val="008A209A"/>
    <w:rsid w:val="008A4F27"/>
    <w:rsid w:val="008D386F"/>
    <w:rsid w:val="0092373D"/>
    <w:rsid w:val="00940D76"/>
    <w:rsid w:val="00947DEC"/>
    <w:rsid w:val="009A57AC"/>
    <w:rsid w:val="009B1508"/>
    <w:rsid w:val="009B2827"/>
    <w:rsid w:val="009E0679"/>
    <w:rsid w:val="009F30F5"/>
    <w:rsid w:val="00A24413"/>
    <w:rsid w:val="00A36143"/>
    <w:rsid w:val="00AA5CDD"/>
    <w:rsid w:val="00AA5DA8"/>
    <w:rsid w:val="00AD3BCB"/>
    <w:rsid w:val="00AE2955"/>
    <w:rsid w:val="00B01C02"/>
    <w:rsid w:val="00B143BA"/>
    <w:rsid w:val="00B26A38"/>
    <w:rsid w:val="00B35A9D"/>
    <w:rsid w:val="00B8177A"/>
    <w:rsid w:val="00B94C83"/>
    <w:rsid w:val="00BC7F0D"/>
    <w:rsid w:val="00BF2184"/>
    <w:rsid w:val="00C1216F"/>
    <w:rsid w:val="00C4225E"/>
    <w:rsid w:val="00C43ECF"/>
    <w:rsid w:val="00C50EF2"/>
    <w:rsid w:val="00C55595"/>
    <w:rsid w:val="00C735CB"/>
    <w:rsid w:val="00C77FDE"/>
    <w:rsid w:val="00C92726"/>
    <w:rsid w:val="00CC329E"/>
    <w:rsid w:val="00D022F4"/>
    <w:rsid w:val="00D0295B"/>
    <w:rsid w:val="00D31F5D"/>
    <w:rsid w:val="00D320FE"/>
    <w:rsid w:val="00D50FCB"/>
    <w:rsid w:val="00D63A94"/>
    <w:rsid w:val="00D738D3"/>
    <w:rsid w:val="00D81408"/>
    <w:rsid w:val="00D87B9A"/>
    <w:rsid w:val="00DA07FB"/>
    <w:rsid w:val="00DA555C"/>
    <w:rsid w:val="00E260BA"/>
    <w:rsid w:val="00E365BE"/>
    <w:rsid w:val="00E90A43"/>
    <w:rsid w:val="00EB32E0"/>
    <w:rsid w:val="00EC7863"/>
    <w:rsid w:val="00EE0B97"/>
    <w:rsid w:val="00EE58FE"/>
    <w:rsid w:val="00F21EE4"/>
    <w:rsid w:val="00F36925"/>
    <w:rsid w:val="00F430C6"/>
    <w:rsid w:val="00F54876"/>
    <w:rsid w:val="00F65D57"/>
    <w:rsid w:val="00F80312"/>
    <w:rsid w:val="00F97BF6"/>
    <w:rsid w:val="00FA21BD"/>
    <w:rsid w:val="00FB7746"/>
    <w:rsid w:val="00FF4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pl-PL"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pl-PL"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pl-PL"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pl-PL"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3C83-53FD-4A44-92E2-6614FEB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6217</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2019-03-13T14:52:00Z</dcterms:created>
  <dcterms:modified xsi:type="dcterms:W3CDTF">2019-03-13T14:52:00Z</dcterms:modified>
</cp:coreProperties>
</file>