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C11" w:rsidRPr="00222ECD" w:rsidRDefault="00046C11" w:rsidP="002726BA">
      <w:pPr>
        <w:autoSpaceDE w:val="0"/>
        <w:autoSpaceDN w:val="0"/>
        <w:adjustRightInd w:val="0"/>
        <w:rPr>
          <w:b/>
          <w:bCs/>
        </w:rPr>
      </w:pPr>
      <w:bookmarkStart w:id="0" w:name="_GoBack"/>
      <w:bookmarkEnd w:id="0"/>
      <w:r>
        <w:rPr>
          <w:b/>
          <w:bCs/>
        </w:rPr>
        <w:t xml:space="preserve">ULOTKA NR 6 - PRZEMOC DOMOWA </w:t>
      </w:r>
    </w:p>
    <w:p w:rsidR="00B8286B" w:rsidRDefault="00B8286B" w:rsidP="002726BA">
      <w:pPr>
        <w:autoSpaceDE w:val="0"/>
        <w:autoSpaceDN w:val="0"/>
        <w:adjustRightInd w:val="0"/>
        <w:rPr>
          <w:b/>
          <w:bCs/>
        </w:rPr>
      </w:pPr>
    </w:p>
    <w:tbl>
      <w:tblPr>
        <w:tblStyle w:val="TableGrid"/>
        <w:tblW w:w="0" w:type="auto"/>
        <w:tblLook w:val="04A0" w:firstRow="1" w:lastRow="0" w:firstColumn="1" w:lastColumn="0" w:noHBand="0" w:noVBand="1"/>
      </w:tblPr>
      <w:tblGrid>
        <w:gridCol w:w="8856"/>
      </w:tblGrid>
      <w:tr w:rsidR="00941427" w:rsidTr="00941427">
        <w:tc>
          <w:tcPr>
            <w:tcW w:w="8856" w:type="dxa"/>
          </w:tcPr>
          <w:p w:rsidR="00941427" w:rsidRPr="00941427" w:rsidRDefault="00941427" w:rsidP="00941427">
            <w:pPr>
              <w:autoSpaceDE w:val="0"/>
              <w:autoSpaceDN w:val="0"/>
              <w:adjustRightInd w:val="0"/>
              <w:rPr>
                <w:b/>
              </w:rPr>
            </w:pPr>
            <w:r>
              <w:rPr>
                <w:b/>
              </w:rPr>
              <w:t>Przemoc domowa może być przemocą fizyczną, seksualną, emocjonalną lub psychiczną, która zagraża bezpieczeństwu lub dobru członków rodziny i niektórych osób w innych relacjach domowych.</w:t>
            </w:r>
          </w:p>
          <w:p w:rsidR="00941427" w:rsidRDefault="00941427" w:rsidP="002726BA">
            <w:pPr>
              <w:autoSpaceDE w:val="0"/>
              <w:autoSpaceDN w:val="0"/>
              <w:adjustRightInd w:val="0"/>
              <w:rPr>
                <w:b/>
                <w:bCs/>
              </w:rPr>
            </w:pPr>
          </w:p>
          <w:p w:rsidR="00941427" w:rsidRDefault="00941427" w:rsidP="002726BA">
            <w:pPr>
              <w:autoSpaceDE w:val="0"/>
              <w:autoSpaceDN w:val="0"/>
              <w:adjustRightInd w:val="0"/>
              <w:rPr>
                <w:b/>
                <w:bCs/>
              </w:rPr>
            </w:pPr>
            <w:r>
              <w:rPr>
                <w:b/>
                <w:bCs/>
              </w:rPr>
              <w:t>Jeśli Państwo lub Państwa dzieci jesteście narażeni na przemoc w rodzinie, można zgłosić agresywną osobę do Garda Síochána. Można również złożyć wniosek do sądu o długoterminowy nakaz ochrony (safety order), nakaz ochrony (protection order), interwencyjny zakaz zbliżania się i nakaz opuszczenia lokalu (emergency barring order), tymczasowy zakaz zbliżania się i nakaz opuszczenia lokalu (interim barring order) lub zakaz zbliżania się i nakaz opuszczenia lokalu (barring order).</w:t>
            </w:r>
          </w:p>
          <w:p w:rsidR="00941427" w:rsidRDefault="00941427" w:rsidP="002726BA">
            <w:pPr>
              <w:autoSpaceDE w:val="0"/>
              <w:autoSpaceDN w:val="0"/>
              <w:adjustRightInd w:val="0"/>
              <w:rPr>
                <w:b/>
                <w:bCs/>
              </w:rPr>
            </w:pPr>
          </w:p>
        </w:tc>
      </w:tr>
    </w:tbl>
    <w:p w:rsidR="00941427" w:rsidRDefault="00941427" w:rsidP="002726BA">
      <w:pPr>
        <w:autoSpaceDE w:val="0"/>
        <w:autoSpaceDN w:val="0"/>
        <w:adjustRightInd w:val="0"/>
        <w:rPr>
          <w:b/>
          <w:bCs/>
        </w:rPr>
      </w:pPr>
    </w:p>
    <w:p w:rsidR="00941427" w:rsidRPr="00222ECD" w:rsidRDefault="00941427" w:rsidP="002726BA">
      <w:pPr>
        <w:autoSpaceDE w:val="0"/>
        <w:autoSpaceDN w:val="0"/>
        <w:adjustRightInd w:val="0"/>
        <w:rPr>
          <w:b/>
          <w:bCs/>
        </w:rPr>
      </w:pPr>
    </w:p>
    <w:p w:rsidR="00740C21" w:rsidRPr="00222ECD" w:rsidRDefault="00740C21" w:rsidP="002726BA">
      <w:pPr>
        <w:autoSpaceDE w:val="0"/>
        <w:autoSpaceDN w:val="0"/>
        <w:adjustRightInd w:val="0"/>
        <w:rPr>
          <w:b/>
          <w:bCs/>
        </w:rPr>
      </w:pPr>
      <w:r>
        <w:rPr>
          <w:b/>
          <w:bCs/>
        </w:rPr>
        <w:t xml:space="preserve">Czym jest przemoc domowa? </w:t>
      </w:r>
    </w:p>
    <w:p w:rsidR="00046C11" w:rsidRPr="00222ECD" w:rsidRDefault="00046C11" w:rsidP="002726BA">
      <w:pPr>
        <w:autoSpaceDE w:val="0"/>
        <w:autoSpaceDN w:val="0"/>
        <w:adjustRightInd w:val="0"/>
      </w:pPr>
      <w:r>
        <w:t>Przemoc domowa może być przemocą fizyczną, seksualną, emocjonalną lub psychiczną, która zagraża bezpieczeństwu lub dobru członków rodziny i niektórych osób w innych relacjach domowych.</w:t>
      </w:r>
    </w:p>
    <w:p w:rsidR="00046C11" w:rsidRPr="00222ECD" w:rsidRDefault="00046C11" w:rsidP="002726BA">
      <w:pPr>
        <w:autoSpaceDE w:val="0"/>
        <w:autoSpaceDN w:val="0"/>
        <w:adjustRightInd w:val="0"/>
      </w:pPr>
    </w:p>
    <w:p w:rsidR="009743C4" w:rsidRPr="00222ECD" w:rsidRDefault="009743C4" w:rsidP="009743C4">
      <w:pPr>
        <w:autoSpaceDE w:val="0"/>
        <w:autoSpaceDN w:val="0"/>
        <w:adjustRightInd w:val="0"/>
        <w:rPr>
          <w:b/>
          <w:bCs/>
        </w:rPr>
      </w:pPr>
      <w:r>
        <w:rPr>
          <w:b/>
          <w:bCs/>
        </w:rPr>
        <w:t>Czy ja lub moje dzieci mogą chronić się przed agresywną osobą w domu?</w:t>
      </w:r>
    </w:p>
    <w:p w:rsidR="009743C4" w:rsidRPr="00222ECD" w:rsidRDefault="009743C4" w:rsidP="009743C4">
      <w:pPr>
        <w:autoSpaceDE w:val="0"/>
        <w:autoSpaceDN w:val="0"/>
        <w:adjustRightInd w:val="0"/>
        <w:rPr>
          <w:bCs/>
        </w:rPr>
      </w:pPr>
      <w:r>
        <w:t>Tak, można:</w:t>
      </w:r>
    </w:p>
    <w:p w:rsidR="009743C4" w:rsidRPr="000E03CD" w:rsidRDefault="009743C4" w:rsidP="00047ADB">
      <w:pPr>
        <w:autoSpaceDE w:val="0"/>
        <w:autoSpaceDN w:val="0"/>
        <w:adjustRightInd w:val="0"/>
        <w:ind w:left="567" w:hanging="567"/>
        <w:rPr>
          <w:bCs/>
        </w:rPr>
      </w:pPr>
      <w:r>
        <w:t>1.</w:t>
      </w:r>
      <w:r>
        <w:tab/>
        <w:t xml:space="preserve">Zgłosić sprawę do Gardaí. Przemoc fizyczna lub seksualna jest przestępstwem. Gardaí mają prawo </w:t>
      </w:r>
      <w:r>
        <w:rPr>
          <w:b/>
          <w:bCs/>
        </w:rPr>
        <w:t>aresztować i oskarżyć agresywną osobę</w:t>
      </w:r>
      <w:r>
        <w:t>.</w:t>
      </w:r>
    </w:p>
    <w:p w:rsidR="00941427" w:rsidRDefault="00941427" w:rsidP="00047ADB">
      <w:pPr>
        <w:autoSpaceDE w:val="0"/>
        <w:autoSpaceDN w:val="0"/>
        <w:adjustRightInd w:val="0"/>
        <w:ind w:left="567" w:hanging="567"/>
        <w:rPr>
          <w:bCs/>
        </w:rPr>
      </w:pPr>
    </w:p>
    <w:p w:rsidR="009743C4" w:rsidRPr="000E03CD" w:rsidRDefault="009743C4" w:rsidP="00047ADB">
      <w:pPr>
        <w:autoSpaceDE w:val="0"/>
        <w:autoSpaceDN w:val="0"/>
        <w:adjustRightInd w:val="0"/>
        <w:ind w:left="567" w:hanging="567"/>
        <w:rPr>
          <w:b/>
        </w:rPr>
      </w:pPr>
      <w:r>
        <w:t>2.</w:t>
      </w:r>
      <w:r>
        <w:tab/>
        <w:t>Zwrócić się do sądu o wydanie nakazu zgodnie z przepisami dotyczącymi przemocy domowej.</w:t>
      </w:r>
      <w:r>
        <w:rPr>
          <w:b/>
          <w:bCs/>
        </w:rPr>
        <w:t xml:space="preserve"> </w:t>
      </w:r>
      <w:r>
        <w:t>Sąd może wydać długoterminowy nakaz ochrony, nakaz ochrony lub zakaz zbliżania się wobec małżonka lub partnera, również w przypadku, gdy osoby nie mieszkają razem. Nakazy te są wydawane jeśli konieczna jest ochrona dobra lub bezpieczeństwa drugiego małżonka / partnera lub dzieci pozostających na utrzymaniu.</w:t>
      </w:r>
    </w:p>
    <w:p w:rsidR="009743C4" w:rsidRPr="000E03CD" w:rsidRDefault="009743C4" w:rsidP="002726BA">
      <w:pPr>
        <w:autoSpaceDE w:val="0"/>
        <w:autoSpaceDN w:val="0"/>
        <w:adjustRightInd w:val="0"/>
      </w:pPr>
    </w:p>
    <w:p w:rsidR="00740C21" w:rsidRPr="000E03CD" w:rsidRDefault="00740C21" w:rsidP="002726BA">
      <w:pPr>
        <w:autoSpaceDE w:val="0"/>
        <w:autoSpaceDN w:val="0"/>
        <w:adjustRightInd w:val="0"/>
        <w:rPr>
          <w:b/>
        </w:rPr>
      </w:pPr>
      <w:r>
        <w:rPr>
          <w:b/>
        </w:rPr>
        <w:t>Jakiego rodzaju ochrona jest dostępna w ramach przepisów dotyczących przemocy w rodzinie?</w:t>
      </w:r>
    </w:p>
    <w:p w:rsidR="00466CF7" w:rsidRPr="000E03CD" w:rsidRDefault="00046C11" w:rsidP="002726BA">
      <w:pPr>
        <w:autoSpaceDE w:val="0"/>
        <w:autoSpaceDN w:val="0"/>
        <w:adjustRightInd w:val="0"/>
      </w:pPr>
      <w:r>
        <w:t>Sąd może chronić na pięć głównych sposobów:</w:t>
      </w:r>
    </w:p>
    <w:p w:rsidR="00046C11" w:rsidRPr="000E03CD" w:rsidRDefault="00C16A90" w:rsidP="00EE4DBA">
      <w:pPr>
        <w:numPr>
          <w:ilvl w:val="0"/>
          <w:numId w:val="3"/>
        </w:numPr>
        <w:tabs>
          <w:tab w:val="clear" w:pos="341"/>
          <w:tab w:val="num" w:pos="709"/>
        </w:tabs>
        <w:autoSpaceDE w:val="0"/>
        <w:autoSpaceDN w:val="0"/>
        <w:adjustRightInd w:val="0"/>
        <w:ind w:left="709" w:hanging="283"/>
        <w:rPr>
          <w:b/>
        </w:rPr>
      </w:pPr>
      <w:r>
        <w:rPr>
          <w:b/>
        </w:rPr>
        <w:t>Długoterminowy nakaz ochronny (Safety order)</w:t>
      </w:r>
    </w:p>
    <w:p w:rsidR="00466CF7" w:rsidRPr="000E03CD" w:rsidRDefault="00466CF7" w:rsidP="00EE4DBA">
      <w:pPr>
        <w:tabs>
          <w:tab w:val="num" w:pos="709"/>
        </w:tabs>
        <w:autoSpaceDE w:val="0"/>
        <w:autoSpaceDN w:val="0"/>
        <w:adjustRightInd w:val="0"/>
        <w:ind w:left="709"/>
      </w:pPr>
      <w:r>
        <w:rPr>
          <w:b/>
          <w:bCs/>
        </w:rPr>
        <w:t>Długoterminowy nakaz ochronny (Safety order)</w:t>
      </w:r>
      <w:r>
        <w:t xml:space="preserve"> zabrania osobie użycia przemocy lub grożenia przemocą osobie, która uzyskała nakaz ochrony lub dzieciom pozostającym na utrzymaniu. Nakaz ochrony nie wymaga od osoby opuszczenia domu, w którym zamieszkuje. Osoby niepozostające w związku małżeńskim nie muszą mieszkać wspólnie lub mieć historię wspólnego zamieszkania w przeszłości, aby ubiegać się o nakaz ochrony;</w:t>
      </w:r>
      <w:r>
        <w:br/>
      </w:r>
    </w:p>
    <w:p w:rsidR="00951F6E" w:rsidRPr="000E03CD" w:rsidRDefault="00C16A90" w:rsidP="00EE4DBA">
      <w:pPr>
        <w:numPr>
          <w:ilvl w:val="0"/>
          <w:numId w:val="3"/>
        </w:numPr>
        <w:tabs>
          <w:tab w:val="clear" w:pos="341"/>
          <w:tab w:val="num" w:pos="709"/>
        </w:tabs>
        <w:autoSpaceDE w:val="0"/>
        <w:autoSpaceDN w:val="0"/>
        <w:adjustRightInd w:val="0"/>
        <w:ind w:left="709" w:hanging="283"/>
        <w:rPr>
          <w:b/>
        </w:rPr>
      </w:pPr>
      <w:r>
        <w:rPr>
          <w:b/>
        </w:rPr>
        <w:t>Nakaz ochrony (Protection order)</w:t>
      </w:r>
    </w:p>
    <w:p w:rsidR="00046C11" w:rsidRPr="000E03CD" w:rsidRDefault="00046C11" w:rsidP="00EE4DBA">
      <w:pPr>
        <w:tabs>
          <w:tab w:val="num" w:pos="709"/>
        </w:tabs>
        <w:autoSpaceDE w:val="0"/>
        <w:autoSpaceDN w:val="0"/>
        <w:adjustRightInd w:val="0"/>
        <w:ind w:left="709"/>
      </w:pPr>
      <w:r>
        <w:rPr>
          <w:b/>
          <w:bCs/>
        </w:rPr>
        <w:lastRenderedPageBreak/>
        <w:t>Nakaz ochrony (Protection order)</w:t>
      </w:r>
      <w:r>
        <w:t xml:space="preserve"> jest tymczasowym nakazem ochrony, który sąd może wydać, gdy osoba ubiega się o długoterminowy nakaz ochrony (safety order) lub zakaz zbliżania się i nakaz opuszczenia lokalu (Barring order). Nakaz ochrony obowiązuje tylko do czasu rozprawy przed sądem w sprawie o wydanie długoterminowego nakazu ochrony lub zakazu zbliżania się i nakazu opuszczenia lokalu. Osoby nie muszą mieszkać wspólnie lub mieć historię wspólnego zamieszkania w przeszłości, aby ubiegać się o nakaz ochrony (Protection order).</w:t>
      </w:r>
      <w:r>
        <w:br/>
      </w:r>
    </w:p>
    <w:p w:rsidR="00C7065B" w:rsidRPr="000E03CD" w:rsidRDefault="001C1C5A" w:rsidP="00EE4DBA">
      <w:pPr>
        <w:numPr>
          <w:ilvl w:val="0"/>
          <w:numId w:val="3"/>
        </w:numPr>
        <w:tabs>
          <w:tab w:val="clear" w:pos="341"/>
          <w:tab w:val="num" w:pos="709"/>
        </w:tabs>
        <w:autoSpaceDE w:val="0"/>
        <w:autoSpaceDN w:val="0"/>
        <w:adjustRightInd w:val="0"/>
        <w:ind w:left="709" w:hanging="283"/>
        <w:rPr>
          <w:b/>
        </w:rPr>
      </w:pPr>
      <w:r>
        <w:rPr>
          <w:b/>
        </w:rPr>
        <w:t>Zakaz zbliżania się i nakaz opuszczenia lokalu (Barring order)</w:t>
      </w:r>
    </w:p>
    <w:p w:rsidR="00206C8D" w:rsidRPr="000E03CD" w:rsidRDefault="001C1C5A" w:rsidP="00EE4DBA">
      <w:pPr>
        <w:tabs>
          <w:tab w:val="num" w:pos="709"/>
        </w:tabs>
        <w:autoSpaceDE w:val="0"/>
        <w:autoSpaceDN w:val="0"/>
        <w:adjustRightInd w:val="0"/>
        <w:ind w:left="709"/>
      </w:pPr>
      <w:r>
        <w:rPr>
          <w:b/>
        </w:rPr>
        <w:t>Zakaz zbliżania się i nakaz opuszczenia lokalu (Barring order)</w:t>
      </w:r>
      <w:r>
        <w:t xml:space="preserve"> nakłada obowiązek na osobę, przeciwko której wydany jest nakaz, aby opuściła dom i przebywała z dala od domu (miejsce zamieszkania) osoby ubiegającej się o nakaz lub dzieci pozostających na utrzymaniu;</w:t>
      </w:r>
      <w:r>
        <w:br/>
      </w:r>
    </w:p>
    <w:p w:rsidR="001C1C5A" w:rsidRPr="000E03CD" w:rsidRDefault="001C1C5A" w:rsidP="00EE4DBA">
      <w:pPr>
        <w:numPr>
          <w:ilvl w:val="0"/>
          <w:numId w:val="3"/>
        </w:numPr>
        <w:tabs>
          <w:tab w:val="clear" w:pos="341"/>
          <w:tab w:val="num" w:pos="709"/>
        </w:tabs>
        <w:autoSpaceDE w:val="0"/>
        <w:autoSpaceDN w:val="0"/>
        <w:adjustRightInd w:val="0"/>
        <w:ind w:left="709" w:hanging="283"/>
        <w:rPr>
          <w:b/>
        </w:rPr>
      </w:pPr>
      <w:r>
        <w:rPr>
          <w:b/>
        </w:rPr>
        <w:t>Tymczasowy zakaz zbliżania się i nakaz opuszczenia lokalu (Interim barring order)</w:t>
      </w:r>
    </w:p>
    <w:p w:rsidR="00C23205" w:rsidRDefault="00046C11" w:rsidP="00EE4DBA">
      <w:pPr>
        <w:tabs>
          <w:tab w:val="num" w:pos="709"/>
        </w:tabs>
        <w:autoSpaceDE w:val="0"/>
        <w:autoSpaceDN w:val="0"/>
        <w:adjustRightInd w:val="0"/>
        <w:ind w:left="709"/>
      </w:pPr>
      <w:r>
        <w:rPr>
          <w:b/>
        </w:rPr>
        <w:t>Tymczasowy zakaz zbliżania się i nakaz opuszczenia lokalu (Interim barring order)</w:t>
      </w:r>
      <w:r>
        <w:t xml:space="preserve"> jest tymczasowym nakazem usunięcia z domu. Jest wydawany jedynie w wyjątkowych okolicznościach, ponieważ jest wydawany bez powiadomienia osoby, przeciwko której jest składany. Gdy sąd jest zdania, że istnieją uzasadnione podstawy, by sądzić, że istnieje bezpośrednie zagrożenie wyrządzenia znaczącej krzywdy wnioskodawcy lub dowolnej osobie pozostającej na utrzymaniu, może wydać nakaz tymczasowy. Nakaz tymczasowy wydany bez powiadomienia osoby, przeciwko której jest składany, może trwać nie dłużej niż osiem dni. Kolejne nakazy mogą być wydane do momentu pełnego rozpatrzenia sprawy;</w:t>
      </w:r>
      <w:r>
        <w:br/>
      </w:r>
    </w:p>
    <w:p w:rsidR="000769C9" w:rsidRPr="00A024AF" w:rsidRDefault="000769C9" w:rsidP="00A024AF">
      <w:pPr>
        <w:numPr>
          <w:ilvl w:val="0"/>
          <w:numId w:val="3"/>
        </w:numPr>
        <w:tabs>
          <w:tab w:val="clear" w:pos="341"/>
          <w:tab w:val="num" w:pos="709"/>
        </w:tabs>
        <w:autoSpaceDE w:val="0"/>
        <w:autoSpaceDN w:val="0"/>
        <w:adjustRightInd w:val="0"/>
        <w:ind w:left="709" w:hanging="283"/>
        <w:rPr>
          <w:b/>
        </w:rPr>
      </w:pPr>
      <w:r>
        <w:rPr>
          <w:b/>
        </w:rPr>
        <w:t xml:space="preserve">Interwencyjny zakaz zbliżania się i nakaz opuszczenia lokalu (Emergency barring order) </w:t>
      </w:r>
    </w:p>
    <w:p w:rsidR="005775E4" w:rsidRPr="00A024AF" w:rsidRDefault="005775E4" w:rsidP="00A024AF">
      <w:pPr>
        <w:autoSpaceDE w:val="0"/>
        <w:autoSpaceDN w:val="0"/>
        <w:adjustRightInd w:val="0"/>
        <w:ind w:left="709"/>
      </w:pPr>
      <w:r>
        <w:tab/>
        <w:t>w określonych okolicznościach dostępny jest interwencyjny zakaz zbliżania się i nakaz opuszczenia lokalu, dla osób mieszkających razem i rodziców dorosłych dzieci, którzy nie byliby normalnie w stanie ubiegać się o zakaz / tymczasowy zakaz zbliżania się i nakaz opuszczenia lokalu, ponieważ mają mniejsze prawa własności w miejscu zamieszkania niż ta osoba przeciw której jest wydawany nakaz. Zakaz może być wydany bez powiadomienia osoby, przeciwko której jest składany, może trwać nie dłużej niż osiem dni.</w:t>
      </w:r>
    </w:p>
    <w:p w:rsidR="005775E4" w:rsidRPr="00A024AF" w:rsidRDefault="005775E4" w:rsidP="00A024AF"/>
    <w:p w:rsidR="005775E4" w:rsidRPr="00772ED2" w:rsidRDefault="005775E4" w:rsidP="005775E4">
      <w:r>
        <w:tab/>
        <w:t>Wszystkie nakazy, w tym zakaz śledzenia lub komunikowania się (w tym drogą elektroniczną) z wnioskodawcą lub osobą/dzieckiem pozostającym na utrzymaniu.</w:t>
      </w:r>
    </w:p>
    <w:p w:rsidR="00A024AF" w:rsidRDefault="00A024AF" w:rsidP="002726BA">
      <w:pPr>
        <w:autoSpaceDE w:val="0"/>
        <w:autoSpaceDN w:val="0"/>
        <w:adjustRightInd w:val="0"/>
        <w:rPr>
          <w:b/>
          <w:bCs/>
        </w:rPr>
      </w:pPr>
    </w:p>
    <w:p w:rsidR="006D56C0" w:rsidRPr="000E03CD" w:rsidRDefault="006D56C0" w:rsidP="002726BA">
      <w:pPr>
        <w:autoSpaceDE w:val="0"/>
        <w:autoSpaceDN w:val="0"/>
        <w:adjustRightInd w:val="0"/>
        <w:rPr>
          <w:b/>
          <w:bCs/>
        </w:rPr>
      </w:pPr>
      <w:r>
        <w:rPr>
          <w:b/>
          <w:bCs/>
        </w:rPr>
        <w:t>Jak długo obowiązuje nakaz?</w:t>
      </w:r>
    </w:p>
    <w:p w:rsidR="002726BA" w:rsidRPr="000E03CD" w:rsidRDefault="00046C11" w:rsidP="002726BA">
      <w:pPr>
        <w:autoSpaceDE w:val="0"/>
        <w:autoSpaceDN w:val="0"/>
        <w:adjustRightInd w:val="0"/>
      </w:pPr>
      <w:r>
        <w:t>Sąd rejonowy może wydać:</w:t>
      </w:r>
    </w:p>
    <w:p w:rsidR="006D56C0" w:rsidRPr="000E03CD" w:rsidRDefault="000209B1" w:rsidP="00EE4DBA">
      <w:pPr>
        <w:numPr>
          <w:ilvl w:val="0"/>
          <w:numId w:val="3"/>
        </w:numPr>
        <w:tabs>
          <w:tab w:val="clear" w:pos="341"/>
          <w:tab w:val="num" w:pos="709"/>
        </w:tabs>
        <w:autoSpaceDE w:val="0"/>
        <w:autoSpaceDN w:val="0"/>
        <w:adjustRightInd w:val="0"/>
        <w:ind w:left="709" w:hanging="283"/>
      </w:pPr>
      <w:r>
        <w:rPr>
          <w:b/>
        </w:rPr>
        <w:lastRenderedPageBreak/>
        <w:t>długoterminowy nakaz ochronny (Safety order)</w:t>
      </w:r>
      <w:r>
        <w:t xml:space="preserve"> na dowolny okres maksymalnie do pięciu lat, oraz </w:t>
      </w:r>
    </w:p>
    <w:p w:rsidR="006D56C0" w:rsidRPr="000E03CD" w:rsidRDefault="000209B1" w:rsidP="00EE4DBA">
      <w:pPr>
        <w:numPr>
          <w:ilvl w:val="0"/>
          <w:numId w:val="3"/>
        </w:numPr>
        <w:tabs>
          <w:tab w:val="clear" w:pos="341"/>
          <w:tab w:val="num" w:pos="709"/>
        </w:tabs>
        <w:autoSpaceDE w:val="0"/>
        <w:autoSpaceDN w:val="0"/>
        <w:adjustRightInd w:val="0"/>
        <w:ind w:left="709" w:hanging="283"/>
      </w:pPr>
      <w:r>
        <w:rPr>
          <w:b/>
        </w:rPr>
        <w:t>zakaz zbliżania się i nakaz opuszczenia lokalu (Barring order)</w:t>
      </w:r>
      <w:r>
        <w:t xml:space="preserve"> na dowolny okres do trzech lat. </w:t>
      </w:r>
    </w:p>
    <w:p w:rsidR="00046C11" w:rsidRPr="000E03CD" w:rsidRDefault="00046C11" w:rsidP="002726BA">
      <w:pPr>
        <w:autoSpaceDE w:val="0"/>
        <w:autoSpaceDN w:val="0"/>
        <w:adjustRightInd w:val="0"/>
      </w:pPr>
      <w:r>
        <w:t>Te nakazy mogą zostać przedłużone.</w:t>
      </w:r>
    </w:p>
    <w:p w:rsidR="009A550D" w:rsidRPr="000E03CD" w:rsidRDefault="00B961DB" w:rsidP="002726BA">
      <w:pPr>
        <w:autoSpaceDE w:val="0"/>
        <w:autoSpaceDN w:val="0"/>
        <w:adjustRightInd w:val="0"/>
      </w:pPr>
      <w:r>
        <w:t xml:space="preserve">Sąd okręgowy i sąd wyższej instancji mogą wydawać nakazy na czas nieokreślony. </w:t>
      </w:r>
    </w:p>
    <w:p w:rsidR="00B961DB" w:rsidRPr="000E03CD" w:rsidRDefault="00B961DB" w:rsidP="002726BA">
      <w:pPr>
        <w:autoSpaceDE w:val="0"/>
        <w:autoSpaceDN w:val="0"/>
        <w:adjustRightInd w:val="0"/>
        <w:rPr>
          <w:b/>
        </w:rPr>
      </w:pPr>
    </w:p>
    <w:p w:rsidR="00046C11" w:rsidRPr="000E03CD" w:rsidRDefault="006D56C0" w:rsidP="002726BA">
      <w:pPr>
        <w:autoSpaceDE w:val="0"/>
        <w:autoSpaceDN w:val="0"/>
        <w:adjustRightInd w:val="0"/>
        <w:rPr>
          <w:b/>
          <w:bCs/>
        </w:rPr>
      </w:pPr>
      <w:r>
        <w:rPr>
          <w:b/>
          <w:bCs/>
        </w:rPr>
        <w:t>Kto może ubiegać się o środki ochrony w związku z przemocą domową?</w:t>
      </w:r>
    </w:p>
    <w:p w:rsidR="00046C11" w:rsidRPr="000E03CD" w:rsidRDefault="00046C11" w:rsidP="002726BA">
      <w:pPr>
        <w:autoSpaceDE w:val="0"/>
        <w:autoSpaceDN w:val="0"/>
        <w:adjustRightInd w:val="0"/>
      </w:pPr>
      <w:r>
        <w:t>Następujące osoby mogą ubiegać się o nakazy na mocy przepisów dotyczących przemocy domowej:</w:t>
      </w:r>
    </w:p>
    <w:p w:rsidR="00046C11" w:rsidRPr="000E03CD" w:rsidRDefault="00046C11" w:rsidP="00EE4DBA">
      <w:pPr>
        <w:numPr>
          <w:ilvl w:val="0"/>
          <w:numId w:val="3"/>
        </w:numPr>
        <w:tabs>
          <w:tab w:val="clear" w:pos="341"/>
          <w:tab w:val="num" w:pos="709"/>
        </w:tabs>
        <w:autoSpaceDE w:val="0"/>
        <w:autoSpaceDN w:val="0"/>
        <w:adjustRightInd w:val="0"/>
        <w:ind w:left="709" w:hanging="283"/>
      </w:pPr>
      <w:r>
        <w:rPr>
          <w:b/>
        </w:rPr>
        <w:t>małżonkowie i byli małżonkowie</w:t>
      </w:r>
      <w:r>
        <w:t>;</w:t>
      </w:r>
    </w:p>
    <w:p w:rsidR="009B7A80" w:rsidRPr="000E03CD" w:rsidRDefault="009B7A80" w:rsidP="00EE4DBA">
      <w:pPr>
        <w:numPr>
          <w:ilvl w:val="0"/>
          <w:numId w:val="3"/>
        </w:numPr>
        <w:tabs>
          <w:tab w:val="clear" w:pos="341"/>
          <w:tab w:val="num" w:pos="709"/>
        </w:tabs>
        <w:autoSpaceDE w:val="0"/>
        <w:autoSpaceDN w:val="0"/>
        <w:adjustRightInd w:val="0"/>
        <w:ind w:left="709" w:hanging="283"/>
      </w:pPr>
      <w:r>
        <w:rPr>
          <w:b/>
        </w:rPr>
        <w:t>partnerzy cywilni i byli partnerzy cywilni</w:t>
      </w:r>
      <w:r>
        <w:t>;</w:t>
      </w:r>
    </w:p>
    <w:p w:rsidR="006103B6" w:rsidRPr="000E03CD" w:rsidRDefault="00046C11" w:rsidP="00EE4DBA">
      <w:pPr>
        <w:numPr>
          <w:ilvl w:val="0"/>
          <w:numId w:val="3"/>
        </w:numPr>
        <w:tabs>
          <w:tab w:val="clear" w:pos="341"/>
          <w:tab w:val="num" w:pos="709"/>
        </w:tabs>
        <w:autoSpaceDE w:val="0"/>
        <w:autoSpaceDN w:val="0"/>
        <w:adjustRightInd w:val="0"/>
        <w:ind w:left="709" w:hanging="283"/>
      </w:pPr>
      <w:r>
        <w:rPr>
          <w:b/>
        </w:rPr>
        <w:t>konkubenci</w:t>
      </w:r>
      <w:r>
        <w:t>;</w:t>
      </w:r>
    </w:p>
    <w:p w:rsidR="00B961DB" w:rsidRPr="000E03CD" w:rsidRDefault="00B961DB" w:rsidP="00EE4DBA">
      <w:pPr>
        <w:numPr>
          <w:ilvl w:val="0"/>
          <w:numId w:val="3"/>
        </w:numPr>
        <w:tabs>
          <w:tab w:val="clear" w:pos="341"/>
          <w:tab w:val="num" w:pos="709"/>
        </w:tabs>
        <w:autoSpaceDE w:val="0"/>
        <w:autoSpaceDN w:val="0"/>
        <w:adjustRightInd w:val="0"/>
        <w:ind w:left="709" w:hanging="283"/>
      </w:pPr>
      <w:r>
        <w:rPr>
          <w:b/>
        </w:rPr>
        <w:t>rodzice</w:t>
      </w:r>
      <w:r>
        <w:t xml:space="preserve"> dorosłych dzieci, którzy chcą ubiegać się o ochronę przed tymi dziećmi; </w:t>
      </w:r>
    </w:p>
    <w:p w:rsidR="00932356" w:rsidRDefault="00B961DB" w:rsidP="00EE4DBA">
      <w:pPr>
        <w:numPr>
          <w:ilvl w:val="0"/>
          <w:numId w:val="3"/>
        </w:numPr>
        <w:tabs>
          <w:tab w:val="clear" w:pos="341"/>
          <w:tab w:val="num" w:pos="709"/>
        </w:tabs>
        <w:autoSpaceDE w:val="0"/>
        <w:autoSpaceDN w:val="0"/>
        <w:adjustRightInd w:val="0"/>
        <w:ind w:left="709" w:hanging="283"/>
      </w:pPr>
      <w:r>
        <w:rPr>
          <w:b/>
        </w:rPr>
        <w:t>osoby</w:t>
      </w:r>
      <w:r>
        <w:t xml:space="preserve"> żyjące razem w związku, który nie jest sformalizowany; </w:t>
      </w:r>
    </w:p>
    <w:p w:rsidR="00B961DB" w:rsidRPr="000E03CD" w:rsidRDefault="00932356" w:rsidP="00EE4DBA">
      <w:pPr>
        <w:numPr>
          <w:ilvl w:val="0"/>
          <w:numId w:val="3"/>
        </w:numPr>
        <w:tabs>
          <w:tab w:val="clear" w:pos="341"/>
          <w:tab w:val="num" w:pos="709"/>
        </w:tabs>
        <w:autoSpaceDE w:val="0"/>
        <w:autoSpaceDN w:val="0"/>
        <w:adjustRightInd w:val="0"/>
        <w:ind w:left="709" w:hanging="283"/>
      </w:pPr>
      <w:r>
        <w:rPr>
          <w:b/>
        </w:rPr>
        <w:t>osoby</w:t>
      </w:r>
      <w:r>
        <w:t xml:space="preserve"> w związku, które nie mieszkają razem, oraz </w:t>
      </w:r>
    </w:p>
    <w:p w:rsidR="00464758" w:rsidRPr="000E03CD" w:rsidRDefault="00B961DB" w:rsidP="00EE4DBA">
      <w:pPr>
        <w:numPr>
          <w:ilvl w:val="0"/>
          <w:numId w:val="3"/>
        </w:numPr>
        <w:tabs>
          <w:tab w:val="clear" w:pos="341"/>
          <w:tab w:val="num" w:pos="709"/>
        </w:tabs>
        <w:autoSpaceDE w:val="0"/>
        <w:autoSpaceDN w:val="0"/>
        <w:adjustRightInd w:val="0"/>
        <w:ind w:left="709" w:hanging="283"/>
      </w:pPr>
      <w:r>
        <w:rPr>
          <w:b/>
        </w:rPr>
        <w:t>rodzic</w:t>
      </w:r>
      <w:r>
        <w:t xml:space="preserve"> dziecka przeciwko drugiemu rodzicowi.  </w:t>
      </w:r>
    </w:p>
    <w:p w:rsidR="00CF1B23" w:rsidRPr="000E03CD" w:rsidRDefault="00CF1B23" w:rsidP="00CF1B23">
      <w:pPr>
        <w:autoSpaceDE w:val="0"/>
        <w:autoSpaceDN w:val="0"/>
        <w:adjustRightInd w:val="0"/>
        <w:ind w:left="720"/>
      </w:pPr>
    </w:p>
    <w:p w:rsidR="00831981" w:rsidRPr="000E03CD" w:rsidRDefault="0077438A" w:rsidP="002726BA">
      <w:pPr>
        <w:autoSpaceDE w:val="0"/>
        <w:autoSpaceDN w:val="0"/>
        <w:adjustRightInd w:val="0"/>
        <w:rPr>
          <w:b/>
        </w:rPr>
      </w:pPr>
      <w:r>
        <w:rPr>
          <w:b/>
        </w:rPr>
        <w:t>Kiedy sąd może wydać długoterminowy nakaz ochronny (Safety order) konkubentom?</w:t>
      </w:r>
    </w:p>
    <w:p w:rsidR="00831981" w:rsidRPr="000E03CD" w:rsidRDefault="00A81D81" w:rsidP="002726BA">
      <w:pPr>
        <w:autoSpaceDE w:val="0"/>
        <w:autoSpaceDN w:val="0"/>
        <w:adjustRightInd w:val="0"/>
      </w:pPr>
      <w:r>
        <w:t>Sąd może wydać długoterminowy nakaz ochronny (Safety order) (również nakaz Protection order), jeżeli strony żyją razem w bliskim związku.</w:t>
      </w:r>
    </w:p>
    <w:p w:rsidR="0077438A" w:rsidRPr="000E03CD" w:rsidRDefault="00046C11" w:rsidP="002726BA">
      <w:pPr>
        <w:autoSpaceDE w:val="0"/>
        <w:autoSpaceDN w:val="0"/>
        <w:adjustRightInd w:val="0"/>
      </w:pPr>
      <w:r>
        <w:t xml:space="preserve"> </w:t>
      </w:r>
    </w:p>
    <w:p w:rsidR="0077438A" w:rsidRPr="000E03CD" w:rsidRDefault="0077438A" w:rsidP="002726BA">
      <w:pPr>
        <w:autoSpaceDE w:val="0"/>
        <w:autoSpaceDN w:val="0"/>
        <w:adjustRightInd w:val="0"/>
        <w:rPr>
          <w:b/>
        </w:rPr>
      </w:pPr>
      <w:r>
        <w:rPr>
          <w:b/>
        </w:rPr>
        <w:t>Kiedy sąd może wydać zakaz zbliżania się i nakaz opuszczenia lokalu (Barring order) konkubentom?</w:t>
      </w:r>
    </w:p>
    <w:p w:rsidR="00890EAB" w:rsidRDefault="00046C11" w:rsidP="002726BA">
      <w:pPr>
        <w:autoSpaceDE w:val="0"/>
        <w:autoSpaceDN w:val="0"/>
        <w:adjustRightInd w:val="0"/>
      </w:pPr>
      <w:r>
        <w:t>Sąd może wydać zakaz zbliżania się i nakaz opuszczenia lokalu (Barring order), konkubentom, którzy żyli razem w bliskim związku.</w:t>
      </w:r>
    </w:p>
    <w:p w:rsidR="00890EAB" w:rsidRDefault="00890EAB" w:rsidP="002726BA">
      <w:pPr>
        <w:autoSpaceDE w:val="0"/>
        <w:autoSpaceDN w:val="0"/>
        <w:adjustRightInd w:val="0"/>
      </w:pPr>
    </w:p>
    <w:p w:rsidR="00890EAB" w:rsidRPr="00A024AF" w:rsidRDefault="00890EAB" w:rsidP="00890EAB">
      <w:pPr>
        <w:rPr>
          <w:b/>
        </w:rPr>
      </w:pPr>
      <w:r>
        <w:rPr>
          <w:b/>
        </w:rPr>
        <w:t>Kiedy sąd może wydać długoterminowy nakaz ochronny (Safety order) nakaz ochrony (Protection order) osobom, które nie mieszkają razem?</w:t>
      </w:r>
    </w:p>
    <w:p w:rsidR="00890EAB" w:rsidRPr="00772ED2" w:rsidRDefault="00890EAB" w:rsidP="00890EAB">
      <w:r>
        <w:t>Wszyscy partnerzy w bliskiej relacji mogą starać się o długoterminowy nakaz ochrony (Safety order) oraz nakaz ochrony (Protection order) ochronę i nie muszą mieszkać razem.</w:t>
      </w:r>
    </w:p>
    <w:p w:rsidR="00831981" w:rsidRPr="000E03CD" w:rsidRDefault="00831981" w:rsidP="002726BA">
      <w:pPr>
        <w:autoSpaceDE w:val="0"/>
        <w:autoSpaceDN w:val="0"/>
        <w:adjustRightInd w:val="0"/>
      </w:pPr>
    </w:p>
    <w:p w:rsidR="00046C11" w:rsidRPr="000E03CD" w:rsidRDefault="0077438A" w:rsidP="00A024AF">
      <w:pPr>
        <w:autoSpaceDE w:val="0"/>
        <w:autoSpaceDN w:val="0"/>
        <w:adjustRightInd w:val="0"/>
      </w:pPr>
      <w:r>
        <w:rPr>
          <w:b/>
        </w:rPr>
        <w:t>Kiedy nakaz opuszczenia lokalu (Barring order) nie zostanie wydany konkubentom?</w:t>
      </w:r>
      <w:r>
        <w:rPr>
          <w:b/>
        </w:rPr>
        <w:br/>
      </w:r>
      <w:r>
        <w:t>Nakaz opuszczenia lokalu (Barring order) nie zostanie wydany konkubentowi, który jest właścicielem miejsca zamieszkania lub który ma większe prawa własności niż osoba wnioskująca o ochronę.</w:t>
      </w:r>
    </w:p>
    <w:p w:rsidR="00B007BE" w:rsidRPr="000E03CD" w:rsidRDefault="00B007BE" w:rsidP="002726BA">
      <w:pPr>
        <w:autoSpaceDE w:val="0"/>
        <w:autoSpaceDN w:val="0"/>
        <w:adjustRightInd w:val="0"/>
      </w:pPr>
    </w:p>
    <w:p w:rsidR="00553918" w:rsidRPr="000E03CD" w:rsidRDefault="00553918" w:rsidP="002726BA">
      <w:pPr>
        <w:autoSpaceDE w:val="0"/>
        <w:autoSpaceDN w:val="0"/>
        <w:adjustRightInd w:val="0"/>
        <w:rPr>
          <w:b/>
        </w:rPr>
      </w:pPr>
      <w:r>
        <w:rPr>
          <w:b/>
        </w:rPr>
        <w:t>Czy mogę uzyskać ochronę przed dorosłym dzieckiem?</w:t>
      </w:r>
    </w:p>
    <w:p w:rsidR="00553918" w:rsidRPr="000E03CD" w:rsidRDefault="00553918" w:rsidP="002726BA">
      <w:pPr>
        <w:autoSpaceDE w:val="0"/>
        <w:autoSpaceDN w:val="0"/>
        <w:adjustRightInd w:val="0"/>
      </w:pPr>
      <w:r>
        <w:t>Tak, można ubiegać się o wydanie długoterminowego nakazu ochrony (Safety order) lub nakazu opuszczenia lokalu (Barring order) przeciwko agresywnemu dorosłemu dziecku.</w:t>
      </w:r>
    </w:p>
    <w:p w:rsidR="00553918" w:rsidRPr="000E03CD" w:rsidRDefault="00553918" w:rsidP="002726BA">
      <w:pPr>
        <w:autoSpaceDE w:val="0"/>
        <w:autoSpaceDN w:val="0"/>
        <w:adjustRightInd w:val="0"/>
      </w:pPr>
    </w:p>
    <w:p w:rsidR="000877D5" w:rsidRPr="000E03CD" w:rsidRDefault="000877D5" w:rsidP="002726BA">
      <w:pPr>
        <w:autoSpaceDE w:val="0"/>
        <w:autoSpaceDN w:val="0"/>
        <w:adjustRightInd w:val="0"/>
        <w:rPr>
          <w:b/>
        </w:rPr>
      </w:pPr>
      <w:r>
        <w:rPr>
          <w:b/>
        </w:rPr>
        <w:t>Kiedy sąd NIE WYDA nakazu opuszczenia lokalu (Barring order) wobec dziecka?</w:t>
      </w:r>
    </w:p>
    <w:p w:rsidR="00CF6B72" w:rsidRPr="000E03CD" w:rsidRDefault="002726BA" w:rsidP="002726BA">
      <w:pPr>
        <w:autoSpaceDE w:val="0"/>
        <w:autoSpaceDN w:val="0"/>
        <w:adjustRightInd w:val="0"/>
      </w:pPr>
      <w:r>
        <w:t>Sąd nie wyda nakazu opuszczenia lokalu (Barring order) dla dziecka, które:</w:t>
      </w:r>
    </w:p>
    <w:p w:rsidR="00464758" w:rsidRPr="000E03CD" w:rsidRDefault="002726BA" w:rsidP="002726BA">
      <w:pPr>
        <w:numPr>
          <w:ilvl w:val="0"/>
          <w:numId w:val="5"/>
        </w:numPr>
        <w:tabs>
          <w:tab w:val="clear" w:pos="720"/>
          <w:tab w:val="num" w:pos="284"/>
        </w:tabs>
        <w:autoSpaceDE w:val="0"/>
        <w:autoSpaceDN w:val="0"/>
        <w:adjustRightInd w:val="0"/>
        <w:ind w:left="284" w:firstLine="0"/>
      </w:pPr>
      <w:r>
        <w:t>pozostaje na utrzymaniu;</w:t>
      </w:r>
    </w:p>
    <w:p w:rsidR="00CF6B72" w:rsidRPr="000E03CD" w:rsidRDefault="00046C11" w:rsidP="002726BA">
      <w:pPr>
        <w:numPr>
          <w:ilvl w:val="0"/>
          <w:numId w:val="2"/>
        </w:numPr>
        <w:autoSpaceDE w:val="0"/>
        <w:autoSpaceDN w:val="0"/>
        <w:adjustRightInd w:val="0"/>
        <w:ind w:hanging="436"/>
      </w:pPr>
      <w:r>
        <w:t xml:space="preserve">jest właścicielem miejsca zamieszkania, lub </w:t>
      </w:r>
    </w:p>
    <w:p w:rsidR="00046C11" w:rsidRPr="000E03CD" w:rsidRDefault="00046C11" w:rsidP="009D63A2">
      <w:pPr>
        <w:numPr>
          <w:ilvl w:val="0"/>
          <w:numId w:val="2"/>
        </w:numPr>
        <w:autoSpaceDE w:val="0"/>
        <w:autoSpaceDN w:val="0"/>
        <w:adjustRightInd w:val="0"/>
        <w:ind w:hanging="436"/>
      </w:pPr>
      <w:r>
        <w:t>które ma większe prawa własności niż rodzic ubiegający się o ochronę.</w:t>
      </w:r>
    </w:p>
    <w:p w:rsidR="00046C11" w:rsidRPr="000E03CD" w:rsidRDefault="00046C11" w:rsidP="002726BA">
      <w:pPr>
        <w:autoSpaceDE w:val="0"/>
        <w:autoSpaceDN w:val="0"/>
        <w:adjustRightInd w:val="0"/>
      </w:pPr>
    </w:p>
    <w:p w:rsidR="009D63A2" w:rsidRPr="000E03CD" w:rsidRDefault="009D63A2" w:rsidP="002726BA">
      <w:pPr>
        <w:autoSpaceDE w:val="0"/>
        <w:autoSpaceDN w:val="0"/>
        <w:adjustRightInd w:val="0"/>
        <w:rPr>
          <w:b/>
          <w:bCs/>
        </w:rPr>
      </w:pPr>
      <w:r>
        <w:rPr>
          <w:b/>
          <w:bCs/>
        </w:rPr>
        <w:t>Kiedy osoby mieszkające razem mogą ubiegać się o ochronę przed drugą osobą?</w:t>
      </w:r>
    </w:p>
    <w:p w:rsidR="00772073" w:rsidRPr="000E03CD" w:rsidRDefault="002726BA" w:rsidP="002726BA">
      <w:pPr>
        <w:autoSpaceDE w:val="0"/>
        <w:autoSpaceDN w:val="0"/>
        <w:adjustRightInd w:val="0"/>
      </w:pPr>
      <w:r>
        <w:t xml:space="preserve">Osoby mieszkające razem w tym samym domu mogą ubiegać się o ochronę przed drugą osobą. Osoba, przed którą wnioskuje się o ochronę, musi mieć ukończone 18 lat. Jednakże sąd nie przyzna ochrony, jeżeli uważa, że istnieje stosunek umowny między osobami. </w:t>
      </w:r>
    </w:p>
    <w:p w:rsidR="00C93034" w:rsidRPr="000E03CD" w:rsidRDefault="00C93034" w:rsidP="009D63A2">
      <w:pPr>
        <w:autoSpaceDE w:val="0"/>
        <w:autoSpaceDN w:val="0"/>
        <w:adjustRightInd w:val="0"/>
      </w:pPr>
    </w:p>
    <w:p w:rsidR="009D63A2" w:rsidRPr="000E03CD" w:rsidRDefault="00B961DB" w:rsidP="009D63A2">
      <w:pPr>
        <w:autoSpaceDE w:val="0"/>
        <w:autoSpaceDN w:val="0"/>
        <w:adjustRightInd w:val="0"/>
        <w:rPr>
          <w:b/>
        </w:rPr>
      </w:pPr>
      <w:r>
        <w:rPr>
          <w:b/>
        </w:rPr>
        <w:t>Czy dziecko pozostające na utrzymaniu może ubiegać się o ochronę?</w:t>
      </w:r>
    </w:p>
    <w:p w:rsidR="0017414D" w:rsidRPr="005D69DB" w:rsidRDefault="00B961DB" w:rsidP="0017414D">
      <w:r>
        <w:t xml:space="preserve">Nie. </w:t>
      </w:r>
      <w:r>
        <w:rPr>
          <w:b/>
          <w:bCs/>
        </w:rPr>
        <w:t>Rodzic</w:t>
      </w:r>
      <w:r>
        <w:t xml:space="preserve"> może ubiegać się o ochronę w imieniu swojego dziecka.</w:t>
      </w:r>
      <w:r>
        <w:rPr>
          <w:b/>
        </w:rPr>
        <w:t xml:space="preserve">  </w:t>
      </w:r>
    </w:p>
    <w:p w:rsidR="00A024AF" w:rsidRDefault="00A024AF" w:rsidP="00A024AF"/>
    <w:p w:rsidR="00046C11" w:rsidRPr="00A024AF" w:rsidRDefault="00AF2FC7" w:rsidP="00A024AF">
      <w:pPr>
        <w:rPr>
          <w:color w:val="222222"/>
        </w:rPr>
      </w:pPr>
      <w:r>
        <w:t xml:space="preserve">Agencja ds. dzieci i rodziny </w:t>
      </w:r>
      <w:r>
        <w:rPr>
          <w:color w:val="222222"/>
        </w:rPr>
        <w:t>(Tusla)</w:t>
      </w:r>
      <w:r>
        <w:t xml:space="preserve"> może ubiegać się o ochronę w imieniu osoby lub dzieci na utrzymaniu tej osoby, w okolicznościach, w których dana osoba nie może się o to ubiegać osobiście.</w:t>
      </w:r>
    </w:p>
    <w:p w:rsidR="00046C11" w:rsidRPr="000E03CD" w:rsidRDefault="00046C11" w:rsidP="002726BA">
      <w:pPr>
        <w:autoSpaceDE w:val="0"/>
        <w:autoSpaceDN w:val="0"/>
        <w:adjustRightInd w:val="0"/>
      </w:pPr>
    </w:p>
    <w:p w:rsidR="00046C11" w:rsidRPr="000E03CD" w:rsidRDefault="00395889" w:rsidP="002726BA">
      <w:pPr>
        <w:autoSpaceDE w:val="0"/>
        <w:autoSpaceDN w:val="0"/>
        <w:adjustRightInd w:val="0"/>
        <w:rPr>
          <w:b/>
          <w:bCs/>
        </w:rPr>
      </w:pPr>
      <w:r>
        <w:rPr>
          <w:b/>
          <w:bCs/>
        </w:rPr>
        <w:t>Co się stanie, jeśli jakaś osoba nie zastosuje się do nakazu sądowego?</w:t>
      </w:r>
    </w:p>
    <w:p w:rsidR="00046C11" w:rsidRPr="000E03CD" w:rsidRDefault="00046C11" w:rsidP="002726BA">
      <w:pPr>
        <w:autoSpaceDE w:val="0"/>
        <w:autoSpaceDN w:val="0"/>
        <w:adjustRightInd w:val="0"/>
      </w:pPr>
      <w:r>
        <w:t xml:space="preserve">Naruszenie dowolnego nakazu wydanego na mocy ustawodawstwa o przemocy domowej jest </w:t>
      </w:r>
      <w:r>
        <w:rPr>
          <w:b/>
        </w:rPr>
        <w:t>przestępstwem kodeksu karnego</w:t>
      </w:r>
      <w:r>
        <w:t>. Gardaí mogą aresztować i oskarżyć osobę, która narusza taki nakaz.</w:t>
      </w:r>
    </w:p>
    <w:p w:rsidR="00BF071F" w:rsidRPr="000E03CD" w:rsidRDefault="00BF071F" w:rsidP="002726BA">
      <w:pPr>
        <w:autoSpaceDE w:val="0"/>
        <w:autoSpaceDN w:val="0"/>
        <w:adjustRightInd w:val="0"/>
        <w:rPr>
          <w:b/>
          <w:bCs/>
        </w:rPr>
      </w:pPr>
    </w:p>
    <w:p w:rsidR="00046C11" w:rsidRPr="000E03CD" w:rsidRDefault="00046C11" w:rsidP="002726BA">
      <w:pPr>
        <w:autoSpaceDE w:val="0"/>
        <w:autoSpaceDN w:val="0"/>
        <w:adjustRightInd w:val="0"/>
        <w:rPr>
          <w:b/>
          <w:bCs/>
        </w:rPr>
      </w:pPr>
      <w:r>
        <w:rPr>
          <w:b/>
          <w:bCs/>
        </w:rPr>
        <w:t>Inne przestępstwa karne</w:t>
      </w:r>
    </w:p>
    <w:p w:rsidR="000541C9" w:rsidRPr="000E03CD" w:rsidRDefault="00046C11" w:rsidP="002726BA">
      <w:pPr>
        <w:autoSpaceDE w:val="0"/>
        <w:autoSpaceDN w:val="0"/>
        <w:adjustRightInd w:val="0"/>
      </w:pPr>
      <w:r>
        <w:t xml:space="preserve">Niezależnie od tego, czy nakazy sądowe są wydawane na podstawie przepisów dotyczących przemocy domowej, przemoc fizyczna lub seksualna jest przestępstwem. Gardaí mają prawo aresztować i oskarżyć agresywną osobę. W przypadku osób będących w związku małżeńskim przestępstwem jest również zabieranie artykułów gospodarstwa domowego z domu rodzinnego, podczas gdy toczą się postępowania na mocy przepisów dotyczących przemocy domowej. </w:t>
      </w:r>
    </w:p>
    <w:p w:rsidR="000541C9" w:rsidRPr="000E03CD" w:rsidRDefault="000541C9" w:rsidP="002726BA">
      <w:pPr>
        <w:autoSpaceDE w:val="0"/>
        <w:autoSpaceDN w:val="0"/>
        <w:adjustRightInd w:val="0"/>
      </w:pPr>
    </w:p>
    <w:p w:rsidR="000541C9" w:rsidRPr="000E03CD" w:rsidRDefault="000541C9" w:rsidP="002726BA">
      <w:pPr>
        <w:autoSpaceDE w:val="0"/>
        <w:autoSpaceDN w:val="0"/>
        <w:adjustRightInd w:val="0"/>
        <w:rPr>
          <w:b/>
        </w:rPr>
      </w:pPr>
      <w:r>
        <w:rPr>
          <w:b/>
        </w:rPr>
        <w:t>Sąd może wydać inne nakazy równocześnie z nakazami dotyczącymi przemocy domowej</w:t>
      </w:r>
    </w:p>
    <w:p w:rsidR="00046C11" w:rsidRDefault="000541C9" w:rsidP="002726BA">
      <w:pPr>
        <w:autoSpaceDE w:val="0"/>
        <w:autoSpaceDN w:val="0"/>
        <w:adjustRightInd w:val="0"/>
      </w:pPr>
      <w:r>
        <w:t>W tym samym czasie, kiedy sąd rozpatruje wniosek o wydanie nakazu (lub nakazów ) na mocy przepisów dotyczących przemocy domowej, może również wykonywać czynności związane z nakazem alimentacyjnym, opieki i kontaktów, opieki nad dziećmi i nakazami na mocy przepisów o ochronie domu rodzinnego. Ogólnie rzecz biorąc, sądy preferują oddzielne wnioski o wydanie tych nakazów.</w:t>
      </w:r>
    </w:p>
    <w:p w:rsidR="00390054" w:rsidRDefault="00390054" w:rsidP="002726BA">
      <w:pPr>
        <w:autoSpaceDE w:val="0"/>
        <w:autoSpaceDN w:val="0"/>
        <w:adjustRightInd w:val="0"/>
      </w:pPr>
    </w:p>
    <w:p w:rsidR="00390054" w:rsidRDefault="00390054" w:rsidP="002726BA">
      <w:pPr>
        <w:autoSpaceDE w:val="0"/>
        <w:autoSpaceDN w:val="0"/>
        <w:adjustRightInd w:val="0"/>
        <w:rPr>
          <w:b/>
        </w:rPr>
      </w:pPr>
      <w:r>
        <w:rPr>
          <w:b/>
        </w:rPr>
        <w:t>Czy muszę zapłacić składkę na pomoc prawną w sprawach dotyczących przemocy domowej?</w:t>
      </w:r>
    </w:p>
    <w:p w:rsidR="00390054" w:rsidRPr="00390054" w:rsidRDefault="00390054" w:rsidP="002726BA">
      <w:pPr>
        <w:autoSpaceDE w:val="0"/>
        <w:autoSpaceDN w:val="0"/>
        <w:adjustRightInd w:val="0"/>
      </w:pPr>
      <w:r>
        <w:lastRenderedPageBreak/>
        <w:t>Nie. O ile osoba spełnia wymagania kryteriów dochodów rozporządzalnych i kapitału rozporządzalnego dla celów pomocy prawnej, a jedynym wnioskiem wniesionym do sądu o środek zapobiegawczy jest wniosek w związku z przemocą domową, nie trzeba płacić składki na pomoc prawną.</w:t>
      </w:r>
    </w:p>
    <w:p w:rsidR="009C7919" w:rsidRPr="000E03CD" w:rsidRDefault="009C7919" w:rsidP="002726BA"/>
    <w:p w:rsidR="000E03CD" w:rsidRPr="0017414D" w:rsidRDefault="009C7919" w:rsidP="000E03CD">
      <w:pPr>
        <w:rPr>
          <w:bCs/>
        </w:rPr>
      </w:pPr>
      <w:r>
        <w:t>Centrala: Legal Aid Board, Quay Street, Cahirciveen, Co. Kerry, V23 RD36.</w:t>
      </w:r>
    </w:p>
    <w:p w:rsidR="009C7919" w:rsidRPr="00222ECD" w:rsidRDefault="009C7919" w:rsidP="002726BA">
      <w:r>
        <w:t>Tel:  (066) 947 1000</w:t>
      </w:r>
    </w:p>
    <w:p w:rsidR="009C7919" w:rsidRPr="000E03CD" w:rsidRDefault="009C7919" w:rsidP="002726BA">
      <w:r>
        <w:t>Faks: (066) 947 1035</w:t>
      </w:r>
    </w:p>
    <w:p w:rsidR="009C7919" w:rsidRPr="000E03CD" w:rsidRDefault="009C7919" w:rsidP="002726BA">
      <w:r>
        <w:t>Infolinia: 1890 615 2000</w:t>
      </w:r>
    </w:p>
    <w:p w:rsidR="009C7919" w:rsidRPr="00222ECD" w:rsidRDefault="009C7919" w:rsidP="002726BA">
      <w:r>
        <w:t xml:space="preserve">Witryna internetowa: </w:t>
      </w:r>
      <w:hyperlink r:id="rId8" w:history="1">
        <w:r>
          <w:rPr>
            <w:rStyle w:val="Hyperlink"/>
          </w:rPr>
          <w:t>www.legalaidboard.ie</w:t>
        </w:r>
      </w:hyperlink>
    </w:p>
    <w:p w:rsidR="007F7319" w:rsidRPr="002726BA" w:rsidRDefault="007F7319" w:rsidP="002726BA"/>
    <w:sectPr w:rsidR="007F7319" w:rsidRPr="002726BA" w:rsidSect="00046C11">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F11" w:rsidRDefault="00357F11">
      <w:r>
        <w:separator/>
      </w:r>
    </w:p>
  </w:endnote>
  <w:endnote w:type="continuationSeparator" w:id="0">
    <w:p w:rsidR="00357F11" w:rsidRDefault="00357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E80" w:rsidRDefault="009D2E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E80" w:rsidRDefault="009D2E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E80" w:rsidRDefault="009D2E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F11" w:rsidRDefault="00357F11">
      <w:r>
        <w:separator/>
      </w:r>
    </w:p>
  </w:footnote>
  <w:footnote w:type="continuationSeparator" w:id="0">
    <w:p w:rsidR="00357F11" w:rsidRDefault="00357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1C9" w:rsidRDefault="000541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1C9" w:rsidRDefault="000541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1C9" w:rsidRDefault="000541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26A64"/>
    <w:multiLevelType w:val="hybridMultilevel"/>
    <w:tmpl w:val="B2B0AA0C"/>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
    <w:nsid w:val="0BE919A6"/>
    <w:multiLevelType w:val="hybridMultilevel"/>
    <w:tmpl w:val="11589DBE"/>
    <w:lvl w:ilvl="0" w:tplc="1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20A3C76"/>
    <w:multiLevelType w:val="hybridMultilevel"/>
    <w:tmpl w:val="7CE26F4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3DA179CF"/>
    <w:multiLevelType w:val="hybridMultilevel"/>
    <w:tmpl w:val="958A54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4E961F26"/>
    <w:multiLevelType w:val="hybridMultilevel"/>
    <w:tmpl w:val="7BC499B6"/>
    <w:lvl w:ilvl="0" w:tplc="BBE497A8">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51BA0559"/>
    <w:multiLevelType w:val="hybridMultilevel"/>
    <w:tmpl w:val="C61C95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5B0F05E8"/>
    <w:multiLevelType w:val="hybridMultilevel"/>
    <w:tmpl w:val="8F7E56B8"/>
    <w:lvl w:ilvl="0" w:tplc="2B188E3C">
      <w:start w:val="1"/>
      <w:numFmt w:val="bullet"/>
      <w:lvlText w:val=""/>
      <w:lvlJc w:val="left"/>
      <w:pPr>
        <w:tabs>
          <w:tab w:val="num" w:pos="341"/>
        </w:tabs>
        <w:ind w:left="0" w:firstLine="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5F5337A3"/>
    <w:multiLevelType w:val="hybridMultilevel"/>
    <w:tmpl w:val="31EEE7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689B5F00"/>
    <w:multiLevelType w:val="hybridMultilevel"/>
    <w:tmpl w:val="AA4CC5DA"/>
    <w:lvl w:ilvl="0" w:tplc="84D67252">
      <w:start w:val="1"/>
      <w:numFmt w:val="bullet"/>
      <w:lvlText w:val=""/>
      <w:lvlJc w:val="left"/>
      <w:pPr>
        <w:tabs>
          <w:tab w:val="num" w:pos="2340"/>
        </w:tabs>
        <w:ind w:left="1928" w:hanging="51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7C4402FF"/>
    <w:multiLevelType w:val="hybridMultilevel"/>
    <w:tmpl w:val="558C5A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2"/>
  </w:num>
  <w:num w:numId="5">
    <w:abstractNumId w:val="3"/>
  </w:num>
  <w:num w:numId="6">
    <w:abstractNumId w:val="9"/>
  </w:num>
  <w:num w:numId="7">
    <w:abstractNumId w:val="5"/>
  </w:num>
  <w:num w:numId="8">
    <w:abstractNumId w:val="7"/>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C11"/>
    <w:rsid w:val="000102E0"/>
    <w:rsid w:val="000209B1"/>
    <w:rsid w:val="00033613"/>
    <w:rsid w:val="00046C11"/>
    <w:rsid w:val="00047ADB"/>
    <w:rsid w:val="000541C9"/>
    <w:rsid w:val="00055BFD"/>
    <w:rsid w:val="000769C9"/>
    <w:rsid w:val="00082695"/>
    <w:rsid w:val="000877D5"/>
    <w:rsid w:val="000E03CD"/>
    <w:rsid w:val="001127BD"/>
    <w:rsid w:val="00145EE2"/>
    <w:rsid w:val="001606E2"/>
    <w:rsid w:val="00170C4D"/>
    <w:rsid w:val="00173A1F"/>
    <w:rsid w:val="0017414D"/>
    <w:rsid w:val="00181A1F"/>
    <w:rsid w:val="001B71F6"/>
    <w:rsid w:val="001C1C5A"/>
    <w:rsid w:val="001C1D4E"/>
    <w:rsid w:val="001C570E"/>
    <w:rsid w:val="001F54C7"/>
    <w:rsid w:val="001F60EA"/>
    <w:rsid w:val="00206C8D"/>
    <w:rsid w:val="00220221"/>
    <w:rsid w:val="00222ECD"/>
    <w:rsid w:val="0022462C"/>
    <w:rsid w:val="00226A7D"/>
    <w:rsid w:val="00232C1A"/>
    <w:rsid w:val="00233D29"/>
    <w:rsid w:val="00246C14"/>
    <w:rsid w:val="00247641"/>
    <w:rsid w:val="002634AA"/>
    <w:rsid w:val="002726BA"/>
    <w:rsid w:val="00273D52"/>
    <w:rsid w:val="002A7E34"/>
    <w:rsid w:val="002B066B"/>
    <w:rsid w:val="002C48FD"/>
    <w:rsid w:val="002D2958"/>
    <w:rsid w:val="003320CA"/>
    <w:rsid w:val="00335D74"/>
    <w:rsid w:val="00341AA5"/>
    <w:rsid w:val="003446B1"/>
    <w:rsid w:val="00357F11"/>
    <w:rsid w:val="00361707"/>
    <w:rsid w:val="00390054"/>
    <w:rsid w:val="00395889"/>
    <w:rsid w:val="003A30C2"/>
    <w:rsid w:val="003B250C"/>
    <w:rsid w:val="003C1B6E"/>
    <w:rsid w:val="003C5C69"/>
    <w:rsid w:val="004020C5"/>
    <w:rsid w:val="00416F30"/>
    <w:rsid w:val="004357AF"/>
    <w:rsid w:val="0043796F"/>
    <w:rsid w:val="00440181"/>
    <w:rsid w:val="00464758"/>
    <w:rsid w:val="00466CF7"/>
    <w:rsid w:val="004A70D8"/>
    <w:rsid w:val="004C10AB"/>
    <w:rsid w:val="004E20D7"/>
    <w:rsid w:val="004E3801"/>
    <w:rsid w:val="004E3F33"/>
    <w:rsid w:val="004E40C7"/>
    <w:rsid w:val="004E4D1E"/>
    <w:rsid w:val="004F3825"/>
    <w:rsid w:val="00521701"/>
    <w:rsid w:val="00524D9C"/>
    <w:rsid w:val="00553918"/>
    <w:rsid w:val="005709D4"/>
    <w:rsid w:val="005775E4"/>
    <w:rsid w:val="005938DF"/>
    <w:rsid w:val="005A2819"/>
    <w:rsid w:val="005A34FC"/>
    <w:rsid w:val="005B2C91"/>
    <w:rsid w:val="005B33CB"/>
    <w:rsid w:val="005F252C"/>
    <w:rsid w:val="005F4817"/>
    <w:rsid w:val="006103B6"/>
    <w:rsid w:val="00616BFD"/>
    <w:rsid w:val="0064411A"/>
    <w:rsid w:val="006727AE"/>
    <w:rsid w:val="00674274"/>
    <w:rsid w:val="006A2080"/>
    <w:rsid w:val="006A34AD"/>
    <w:rsid w:val="006B2B1F"/>
    <w:rsid w:val="006D56C0"/>
    <w:rsid w:val="006F157C"/>
    <w:rsid w:val="006F7995"/>
    <w:rsid w:val="00740C21"/>
    <w:rsid w:val="007415F9"/>
    <w:rsid w:val="00751160"/>
    <w:rsid w:val="00772073"/>
    <w:rsid w:val="0077438A"/>
    <w:rsid w:val="0077776A"/>
    <w:rsid w:val="0078263D"/>
    <w:rsid w:val="007878DD"/>
    <w:rsid w:val="00791B40"/>
    <w:rsid w:val="007A5CB2"/>
    <w:rsid w:val="007A7F40"/>
    <w:rsid w:val="007E2384"/>
    <w:rsid w:val="007F7319"/>
    <w:rsid w:val="00831981"/>
    <w:rsid w:val="00835676"/>
    <w:rsid w:val="00853105"/>
    <w:rsid w:val="00857509"/>
    <w:rsid w:val="008575B1"/>
    <w:rsid w:val="00877730"/>
    <w:rsid w:val="00890658"/>
    <w:rsid w:val="00890EAB"/>
    <w:rsid w:val="008B2CA5"/>
    <w:rsid w:val="008E6AA9"/>
    <w:rsid w:val="00925A42"/>
    <w:rsid w:val="00927855"/>
    <w:rsid w:val="009305F6"/>
    <w:rsid w:val="00932356"/>
    <w:rsid w:val="00941427"/>
    <w:rsid w:val="00951F6E"/>
    <w:rsid w:val="0095679F"/>
    <w:rsid w:val="009743C4"/>
    <w:rsid w:val="009A114F"/>
    <w:rsid w:val="009A550D"/>
    <w:rsid w:val="009A6AA3"/>
    <w:rsid w:val="009B7A80"/>
    <w:rsid w:val="009C7919"/>
    <w:rsid w:val="009D2E80"/>
    <w:rsid w:val="009D63A2"/>
    <w:rsid w:val="009E46E4"/>
    <w:rsid w:val="00A024AF"/>
    <w:rsid w:val="00A24413"/>
    <w:rsid w:val="00A43816"/>
    <w:rsid w:val="00A478AA"/>
    <w:rsid w:val="00A81D81"/>
    <w:rsid w:val="00A94540"/>
    <w:rsid w:val="00A94E9F"/>
    <w:rsid w:val="00AB5F10"/>
    <w:rsid w:val="00AF2FC7"/>
    <w:rsid w:val="00AF3763"/>
    <w:rsid w:val="00AF573E"/>
    <w:rsid w:val="00AF6403"/>
    <w:rsid w:val="00B007BE"/>
    <w:rsid w:val="00B25443"/>
    <w:rsid w:val="00B26BCE"/>
    <w:rsid w:val="00B3032F"/>
    <w:rsid w:val="00B8286B"/>
    <w:rsid w:val="00B85B29"/>
    <w:rsid w:val="00B961DB"/>
    <w:rsid w:val="00BB420C"/>
    <w:rsid w:val="00BC0396"/>
    <w:rsid w:val="00BF071F"/>
    <w:rsid w:val="00C16A90"/>
    <w:rsid w:val="00C23205"/>
    <w:rsid w:val="00C23422"/>
    <w:rsid w:val="00C348EC"/>
    <w:rsid w:val="00C7065B"/>
    <w:rsid w:val="00C93034"/>
    <w:rsid w:val="00C956A5"/>
    <w:rsid w:val="00CA3D4F"/>
    <w:rsid w:val="00CA55B2"/>
    <w:rsid w:val="00CA6167"/>
    <w:rsid w:val="00CF1B23"/>
    <w:rsid w:val="00CF6B72"/>
    <w:rsid w:val="00D2130C"/>
    <w:rsid w:val="00D255B1"/>
    <w:rsid w:val="00D26223"/>
    <w:rsid w:val="00D4358F"/>
    <w:rsid w:val="00D457CD"/>
    <w:rsid w:val="00D86006"/>
    <w:rsid w:val="00D90592"/>
    <w:rsid w:val="00DA089A"/>
    <w:rsid w:val="00DA2437"/>
    <w:rsid w:val="00DF0AC7"/>
    <w:rsid w:val="00DF74E6"/>
    <w:rsid w:val="00E20CA0"/>
    <w:rsid w:val="00E37FA8"/>
    <w:rsid w:val="00E53613"/>
    <w:rsid w:val="00E61193"/>
    <w:rsid w:val="00E73107"/>
    <w:rsid w:val="00EB1B86"/>
    <w:rsid w:val="00EB69D6"/>
    <w:rsid w:val="00EC2EE4"/>
    <w:rsid w:val="00ED1689"/>
    <w:rsid w:val="00ED7D52"/>
    <w:rsid w:val="00EE4DBA"/>
    <w:rsid w:val="00F643F8"/>
    <w:rsid w:val="00F71E37"/>
    <w:rsid w:val="00F72922"/>
    <w:rsid w:val="00F95937"/>
    <w:rsid w:val="00FC0ED6"/>
    <w:rsid w:val="00FC79FF"/>
    <w:rsid w:val="00FD7E24"/>
    <w:rsid w:val="00FF107D"/>
    <w:rsid w:val="00FF36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color w:val="292526"/>
        <w:sz w:val="24"/>
        <w:szCs w:val="24"/>
        <w:lang w:val="pl-PL"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45EE2"/>
    <w:pPr>
      <w:tabs>
        <w:tab w:val="center" w:pos="4153"/>
        <w:tab w:val="right" w:pos="8306"/>
      </w:tabs>
    </w:pPr>
  </w:style>
  <w:style w:type="paragraph" w:styleId="Footer">
    <w:name w:val="footer"/>
    <w:basedOn w:val="Normal"/>
    <w:rsid w:val="00145EE2"/>
    <w:pPr>
      <w:tabs>
        <w:tab w:val="center" w:pos="4153"/>
        <w:tab w:val="right" w:pos="8306"/>
      </w:tabs>
    </w:pPr>
  </w:style>
  <w:style w:type="paragraph" w:styleId="BalloonText">
    <w:name w:val="Balloon Text"/>
    <w:basedOn w:val="Normal"/>
    <w:semiHidden/>
    <w:rsid w:val="00466CF7"/>
    <w:rPr>
      <w:rFonts w:ascii="Tahoma" w:hAnsi="Tahoma" w:cs="Tahoma"/>
      <w:sz w:val="16"/>
      <w:szCs w:val="16"/>
    </w:rPr>
  </w:style>
  <w:style w:type="character" w:styleId="CommentReference">
    <w:name w:val="annotation reference"/>
    <w:semiHidden/>
    <w:rsid w:val="00B85B29"/>
    <w:rPr>
      <w:sz w:val="16"/>
      <w:szCs w:val="16"/>
    </w:rPr>
  </w:style>
  <w:style w:type="paragraph" w:styleId="CommentText">
    <w:name w:val="annotation text"/>
    <w:basedOn w:val="Normal"/>
    <w:semiHidden/>
    <w:rsid w:val="00B85B29"/>
    <w:rPr>
      <w:sz w:val="20"/>
      <w:szCs w:val="20"/>
    </w:rPr>
  </w:style>
  <w:style w:type="paragraph" w:styleId="CommentSubject">
    <w:name w:val="annotation subject"/>
    <w:basedOn w:val="CommentText"/>
    <w:next w:val="CommentText"/>
    <w:semiHidden/>
    <w:rsid w:val="00B85B29"/>
    <w:rPr>
      <w:b/>
      <w:bCs/>
    </w:rPr>
  </w:style>
  <w:style w:type="character" w:styleId="Hyperlink">
    <w:name w:val="Hyperlink"/>
    <w:rsid w:val="009C7919"/>
    <w:rPr>
      <w:color w:val="0000FF"/>
      <w:u w:val="single"/>
    </w:rPr>
  </w:style>
  <w:style w:type="table" w:styleId="TableGrid">
    <w:name w:val="Table Grid"/>
    <w:basedOn w:val="TableNormal"/>
    <w:rsid w:val="009414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9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color w:val="292526"/>
        <w:sz w:val="24"/>
        <w:szCs w:val="24"/>
        <w:lang w:val="pl-PL"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45EE2"/>
    <w:pPr>
      <w:tabs>
        <w:tab w:val="center" w:pos="4153"/>
        <w:tab w:val="right" w:pos="8306"/>
      </w:tabs>
    </w:pPr>
  </w:style>
  <w:style w:type="paragraph" w:styleId="Footer">
    <w:name w:val="footer"/>
    <w:basedOn w:val="Normal"/>
    <w:rsid w:val="00145EE2"/>
    <w:pPr>
      <w:tabs>
        <w:tab w:val="center" w:pos="4153"/>
        <w:tab w:val="right" w:pos="8306"/>
      </w:tabs>
    </w:pPr>
  </w:style>
  <w:style w:type="paragraph" w:styleId="BalloonText">
    <w:name w:val="Balloon Text"/>
    <w:basedOn w:val="Normal"/>
    <w:semiHidden/>
    <w:rsid w:val="00466CF7"/>
    <w:rPr>
      <w:rFonts w:ascii="Tahoma" w:hAnsi="Tahoma" w:cs="Tahoma"/>
      <w:sz w:val="16"/>
      <w:szCs w:val="16"/>
    </w:rPr>
  </w:style>
  <w:style w:type="character" w:styleId="CommentReference">
    <w:name w:val="annotation reference"/>
    <w:semiHidden/>
    <w:rsid w:val="00B85B29"/>
    <w:rPr>
      <w:sz w:val="16"/>
      <w:szCs w:val="16"/>
    </w:rPr>
  </w:style>
  <w:style w:type="paragraph" w:styleId="CommentText">
    <w:name w:val="annotation text"/>
    <w:basedOn w:val="Normal"/>
    <w:semiHidden/>
    <w:rsid w:val="00B85B29"/>
    <w:rPr>
      <w:sz w:val="20"/>
      <w:szCs w:val="20"/>
    </w:rPr>
  </w:style>
  <w:style w:type="paragraph" w:styleId="CommentSubject">
    <w:name w:val="annotation subject"/>
    <w:basedOn w:val="CommentText"/>
    <w:next w:val="CommentText"/>
    <w:semiHidden/>
    <w:rsid w:val="00B85B29"/>
    <w:rPr>
      <w:b/>
      <w:bCs/>
    </w:rPr>
  </w:style>
  <w:style w:type="character" w:styleId="Hyperlink">
    <w:name w:val="Hyperlink"/>
    <w:rsid w:val="009C7919"/>
    <w:rPr>
      <w:color w:val="0000FF"/>
      <w:u w:val="single"/>
    </w:rPr>
  </w:style>
  <w:style w:type="table" w:styleId="TableGrid">
    <w:name w:val="Table Grid"/>
    <w:basedOn w:val="TableNormal"/>
    <w:rsid w:val="009414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9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alaidboard.ie"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B5EDA5E8</Template>
  <TotalTime>0</TotalTime>
  <Pages>5</Pages>
  <Words>1302</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9299</CharactersWithSpaces>
  <SharedDoc>false</SharedDoc>
  <HLinks>
    <vt:vector size="6" baseType="variant">
      <vt:variant>
        <vt:i4>262151</vt:i4>
      </vt:variant>
      <vt:variant>
        <vt:i4>0</vt:i4>
      </vt:variant>
      <vt:variant>
        <vt:i4>0</vt:i4>
      </vt:variant>
      <vt:variant>
        <vt:i4>5</vt:i4>
      </vt:variant>
      <vt:variant>
        <vt:lpwstr>http://www.legalaidboard.ie/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2019-03-13T14:52:00Z</dcterms:created>
  <dcterms:modified xsi:type="dcterms:W3CDTF">2019-03-13T14:52:00Z</dcterms:modified>
</cp:coreProperties>
</file>