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F8" w:rsidRPr="00AD1E5B" w:rsidRDefault="00E046F8" w:rsidP="00E046F8">
      <w:pPr>
        <w:rPr>
          <w:rFonts w:cs="Arial"/>
          <w:b/>
          <w:szCs w:val="24"/>
        </w:rPr>
      </w:pPr>
      <w:bookmarkStart w:id="0" w:name="_GoBack"/>
      <w:bookmarkEnd w:id="0"/>
      <w:r>
        <w:rPr>
          <w:b/>
          <w:szCs w:val="24"/>
        </w:rPr>
        <w:t xml:space="preserve">ULOTKA NR 14 - PRAWA KONKUBENTÓW </w:t>
      </w:r>
    </w:p>
    <w:p w:rsidR="00E046F8" w:rsidRPr="00AD1E5B" w:rsidRDefault="00E046F8" w:rsidP="00E046F8">
      <w:pPr>
        <w:rPr>
          <w:rFonts w:cs="Arial"/>
          <w:b/>
          <w:szCs w:val="24"/>
        </w:rPr>
      </w:pPr>
    </w:p>
    <w:p w:rsidR="00B5509F" w:rsidRPr="00AD1E5B" w:rsidRDefault="00E319D3" w:rsidP="00B5509F">
      <w:pPr>
        <w:rPr>
          <w:rFonts w:cs="Arial"/>
          <w:szCs w:val="24"/>
        </w:rPr>
      </w:pPr>
      <w:r>
        <w:t>Konkubent to osoba, która mieszka razem z inną osobą:</w:t>
      </w:r>
    </w:p>
    <w:p w:rsidR="00B5509F" w:rsidRPr="00AD1E5B" w:rsidRDefault="00B5509F" w:rsidP="00B5509F">
      <w:pPr>
        <w:pStyle w:val="ListParagraph"/>
        <w:numPr>
          <w:ilvl w:val="0"/>
          <w:numId w:val="1"/>
        </w:numPr>
        <w:rPr>
          <w:rFonts w:cs="Arial"/>
          <w:szCs w:val="24"/>
        </w:rPr>
      </w:pPr>
      <w:r>
        <w:t>jako partner w intymnym i trwałym związku;</w:t>
      </w:r>
    </w:p>
    <w:p w:rsidR="00B5509F" w:rsidRPr="00AD1E5B" w:rsidRDefault="00E319D3" w:rsidP="00B5509F">
      <w:pPr>
        <w:pStyle w:val="ListParagraph"/>
        <w:numPr>
          <w:ilvl w:val="0"/>
          <w:numId w:val="1"/>
        </w:numPr>
        <w:rPr>
          <w:rFonts w:cs="Arial"/>
          <w:szCs w:val="24"/>
        </w:rPr>
      </w:pPr>
      <w:r>
        <w:t>która nie jest z nią spokrewniona w zabronionym stopniu dla zawarcia związku - np. rodzice, dziadkowie, rodzeństwo, dzieci, wnuki lub siostrzeńcy / siostrzenice; oraz</w:t>
      </w:r>
    </w:p>
    <w:p w:rsidR="00E046F8" w:rsidRPr="00AD1E5B" w:rsidRDefault="00C85E45" w:rsidP="00B5509F">
      <w:pPr>
        <w:pStyle w:val="ListParagraph"/>
        <w:numPr>
          <w:ilvl w:val="0"/>
          <w:numId w:val="1"/>
        </w:numPr>
        <w:rPr>
          <w:rFonts w:cs="Arial"/>
          <w:szCs w:val="24"/>
        </w:rPr>
      </w:pPr>
      <w:r>
        <w:t>nie jest w związku małżeńskim lub nie jest partnerem cywilnym tej osoby.</w:t>
      </w:r>
    </w:p>
    <w:p w:rsidR="00B933A8" w:rsidRPr="00AD1E5B" w:rsidRDefault="00B933A8">
      <w:pPr>
        <w:rPr>
          <w:rFonts w:cs="Arial"/>
          <w:szCs w:val="24"/>
        </w:rPr>
      </w:pPr>
    </w:p>
    <w:p w:rsidR="00B5509F" w:rsidRPr="00AD1E5B" w:rsidRDefault="00C85E45">
      <w:pPr>
        <w:rPr>
          <w:rFonts w:cs="Arial"/>
          <w:szCs w:val="24"/>
        </w:rPr>
      </w:pPr>
      <w:r>
        <w:t>Ustawa o partnerstwie cywilnym i niektórych prawach konkubentów z 2010 roku przyznaje określone prawa w przypadku rozpadu związku wieloletnich konkubentów, określanych jako „kwalifikowani konkubenci” w rozumieniu ustawy.</w:t>
      </w:r>
    </w:p>
    <w:p w:rsidR="00B5509F" w:rsidRPr="00AD1E5B" w:rsidRDefault="00B5509F">
      <w:pPr>
        <w:rPr>
          <w:rFonts w:cs="Arial"/>
          <w:szCs w:val="24"/>
        </w:rPr>
      </w:pPr>
    </w:p>
    <w:p w:rsidR="00B5509F" w:rsidRPr="00AD1E5B" w:rsidRDefault="00B5509F" w:rsidP="00B5509F">
      <w:pPr>
        <w:rPr>
          <w:rFonts w:cs="Arial"/>
          <w:szCs w:val="24"/>
        </w:rPr>
      </w:pPr>
      <w:r>
        <w:t>Aby skorzystać z praw przysługujących na mocy ustawy, konkubenci muszą mieszkać razem przez co najmniej pięć lat, jeśli nie mają dzieci lub dwa lata, jeśli mają dzieci. Nie można być kwalifikowanym konkubentem, jeśli dana osoba lub jej partner są w związku małżeńskim, a w chwili rozpadu związku osoba pozostająca w związku małżeńskim nie była w separacji z małżonkiem przez co najmniej cztery z ostatnich pięciu lat.</w:t>
      </w:r>
    </w:p>
    <w:p w:rsidR="00057C51" w:rsidRPr="00AD1E5B" w:rsidRDefault="00057C51" w:rsidP="00B5509F">
      <w:pPr>
        <w:rPr>
          <w:rFonts w:cs="Arial"/>
          <w:szCs w:val="24"/>
        </w:rPr>
      </w:pPr>
    </w:p>
    <w:p w:rsidR="008B3242" w:rsidRPr="00AD1E5B" w:rsidRDefault="008B3242" w:rsidP="00B5509F">
      <w:pPr>
        <w:rPr>
          <w:rFonts w:cs="Arial"/>
          <w:b/>
          <w:szCs w:val="24"/>
        </w:rPr>
      </w:pPr>
      <w:r>
        <w:rPr>
          <w:b/>
          <w:szCs w:val="24"/>
        </w:rPr>
        <w:t>Jeśli związek przeżywa kłopoty</w:t>
      </w:r>
    </w:p>
    <w:p w:rsidR="00DE6E35" w:rsidRPr="00AD1E5B" w:rsidRDefault="008B3242" w:rsidP="00B5509F">
      <w:pPr>
        <w:rPr>
          <w:rFonts w:cs="Arial"/>
          <w:szCs w:val="24"/>
        </w:rPr>
      </w:pPr>
      <w:r>
        <w:t xml:space="preserve">Sąd należy zawsze traktować jako ostateczność.  Postępowania sądowe w Irlandii mają na ogół negatywny wpływ na relacje i choć sędzia podejmie próbę uczciwego rozstrzygnięcia sprawy, to wynik może nie być zadowalający dla żadnej ze stron. </w:t>
      </w:r>
    </w:p>
    <w:p w:rsidR="00DE6E35" w:rsidRPr="00AD1E5B" w:rsidRDefault="00DE6E35" w:rsidP="00B5509F">
      <w:pPr>
        <w:rPr>
          <w:rFonts w:cs="Arial"/>
          <w:szCs w:val="24"/>
        </w:rPr>
      </w:pPr>
    </w:p>
    <w:p w:rsidR="008B3242" w:rsidRPr="00AD1E5B" w:rsidRDefault="008B3242" w:rsidP="00B5509F">
      <w:pPr>
        <w:rPr>
          <w:rFonts w:cs="Arial"/>
          <w:szCs w:val="24"/>
        </w:rPr>
      </w:pPr>
      <w:r>
        <w:t xml:space="preserve">Lepiej jest w pierwszej kolejności zasięgnąć pomocy terapii rodzinnej lub mediacji, aby osiągnąć rozwiązanie akceptowalne dla obu stron. Szczegóły dotyczące mediacji rodzinnych finansowanych przez państwo są dostępne na witrynie </w:t>
      </w:r>
      <w:hyperlink r:id="rId8" w:history="1">
        <w:r>
          <w:rPr>
            <w:rStyle w:val="Hyperlink"/>
          </w:rPr>
          <w:t>www.legalaidboard.ie</w:t>
        </w:r>
      </w:hyperlink>
      <w:r>
        <w:t xml:space="preserve"> </w:t>
      </w:r>
    </w:p>
    <w:p w:rsidR="008B3242" w:rsidRPr="00AD1E5B" w:rsidRDefault="008B3242" w:rsidP="00B5509F">
      <w:pPr>
        <w:rPr>
          <w:rFonts w:cs="Arial"/>
          <w:szCs w:val="24"/>
        </w:rPr>
      </w:pPr>
    </w:p>
    <w:p w:rsidR="00057C51" w:rsidRPr="00D00D8B" w:rsidRDefault="00497728" w:rsidP="00B5509F">
      <w:pPr>
        <w:rPr>
          <w:rFonts w:cs="Arial"/>
          <w:b/>
          <w:szCs w:val="24"/>
        </w:rPr>
      </w:pPr>
      <w:r>
        <w:rPr>
          <w:b/>
          <w:szCs w:val="24"/>
        </w:rPr>
        <w:t>System zadośćuczynienia dla wieloletnich konkubentów</w:t>
      </w:r>
    </w:p>
    <w:p w:rsidR="00497728" w:rsidRPr="00D9148E" w:rsidRDefault="00497728" w:rsidP="00B5509F">
      <w:pPr>
        <w:rPr>
          <w:rFonts w:cs="Arial"/>
          <w:szCs w:val="24"/>
        </w:rPr>
      </w:pPr>
      <w:r>
        <w:t>Kwalifikowany konkubent może wystąpić do sądu o wydanie pewnych nakazów:</w:t>
      </w:r>
    </w:p>
    <w:p w:rsidR="008B3242" w:rsidRPr="00D9148E" w:rsidRDefault="008B3242" w:rsidP="00497728">
      <w:pPr>
        <w:pStyle w:val="ListParagraph"/>
        <w:numPr>
          <w:ilvl w:val="0"/>
          <w:numId w:val="3"/>
        </w:numPr>
        <w:rPr>
          <w:rFonts w:cs="Arial"/>
          <w:szCs w:val="24"/>
        </w:rPr>
      </w:pPr>
      <w:r>
        <w:t>Nakaz zapłacenia przez jednego konkubenta jednorazowej sumy drugiemu konkubentowi;</w:t>
      </w:r>
    </w:p>
    <w:p w:rsidR="00497728" w:rsidRPr="00D9148E" w:rsidRDefault="00497728" w:rsidP="00497728">
      <w:pPr>
        <w:pStyle w:val="ListParagraph"/>
        <w:numPr>
          <w:ilvl w:val="0"/>
          <w:numId w:val="3"/>
        </w:numPr>
        <w:rPr>
          <w:rFonts w:cs="Arial"/>
          <w:szCs w:val="24"/>
        </w:rPr>
      </w:pPr>
      <w:r>
        <w:t>Nakaz, aby finansowo zależny konkubent otrzymywał od drugiego konkubenta alimenty (</w:t>
      </w:r>
      <w:r>
        <w:rPr>
          <w:b/>
          <w:szCs w:val="24"/>
        </w:rPr>
        <w:t>nakaz alimentacyjny</w:t>
      </w:r>
      <w:r>
        <w:t>).</w:t>
      </w:r>
      <w:r>
        <w:rPr>
          <w:b/>
          <w:szCs w:val="24"/>
        </w:rPr>
        <w:t xml:space="preserve"> </w:t>
      </w:r>
      <w:r>
        <w:t>Sąd może również uzależnić (zmienić) ten nakaz zgodnie z okolicznościami, wydawać tymczasowe nakazy, zarządzić dokonywanie płatności za pośrednictwem urzędnika Sądu rejonowego i zarządzić, aby pracodawca danej osoby dokonywał wypłat z wynagrodzenia (zajęcie wynagrodzenia);</w:t>
      </w:r>
    </w:p>
    <w:p w:rsidR="00497728" w:rsidRPr="00D9148E" w:rsidRDefault="00497728" w:rsidP="00497728">
      <w:pPr>
        <w:pStyle w:val="ListParagraph"/>
        <w:numPr>
          <w:ilvl w:val="0"/>
          <w:numId w:val="3"/>
        </w:numPr>
        <w:rPr>
          <w:rFonts w:cs="Arial"/>
          <w:szCs w:val="24"/>
        </w:rPr>
      </w:pPr>
      <w:r>
        <w:t>Nakaz dokonania płatności z emerytury jednego kwalifikowanego konkubenta dla drugiego (</w:t>
      </w:r>
      <w:r>
        <w:rPr>
          <w:b/>
          <w:szCs w:val="24"/>
        </w:rPr>
        <w:t>nakaz korekty świadczeń emerytalnych</w:t>
      </w:r>
      <w:r>
        <w:t>);</w:t>
      </w:r>
    </w:p>
    <w:p w:rsidR="008B3242" w:rsidRPr="00D9148E" w:rsidRDefault="00DE6E35" w:rsidP="00497728">
      <w:pPr>
        <w:pStyle w:val="ListParagraph"/>
        <w:numPr>
          <w:ilvl w:val="0"/>
          <w:numId w:val="3"/>
        </w:numPr>
        <w:rPr>
          <w:rFonts w:cs="Arial"/>
          <w:szCs w:val="24"/>
        </w:rPr>
      </w:pPr>
      <w:r>
        <w:t>Nakaz wymagający od współmieszkańca przeniesienia części swojej własności na drugą stronę (</w:t>
      </w:r>
      <w:r>
        <w:rPr>
          <w:b/>
          <w:szCs w:val="24"/>
        </w:rPr>
        <w:t>orzeczenie o podziale majątku</w:t>
      </w:r>
      <w:r>
        <w:t>); oraz</w:t>
      </w:r>
    </w:p>
    <w:p w:rsidR="00DE6E35" w:rsidRPr="00D9148E" w:rsidRDefault="00DE6E35" w:rsidP="00497728">
      <w:pPr>
        <w:pStyle w:val="ListParagraph"/>
        <w:numPr>
          <w:ilvl w:val="0"/>
          <w:numId w:val="3"/>
        </w:numPr>
        <w:rPr>
          <w:rFonts w:cs="Arial"/>
          <w:szCs w:val="24"/>
        </w:rPr>
      </w:pPr>
      <w:r>
        <w:t>Nakaz dający żyjącemu konkubentowi zabezpieczenie z majątku zmarłego konkubenta.</w:t>
      </w:r>
    </w:p>
    <w:p w:rsidR="00140EDB" w:rsidRPr="00D9148E" w:rsidRDefault="00140EDB" w:rsidP="00140EDB">
      <w:pPr>
        <w:rPr>
          <w:rFonts w:cs="Arial"/>
          <w:szCs w:val="24"/>
        </w:rPr>
      </w:pPr>
    </w:p>
    <w:p w:rsidR="00140EDB" w:rsidRPr="00D9148E" w:rsidRDefault="00140EDB" w:rsidP="00140EDB">
      <w:pPr>
        <w:rPr>
          <w:rFonts w:cs="Arial"/>
          <w:szCs w:val="24"/>
        </w:rPr>
      </w:pPr>
      <w:r>
        <w:t>Wydanie tych nakazów nie jest automatyczne. Przy podejmowaniu decyzji o wydaniu nakazu sąd uwzględnia szereg czynników. Czynniki te obejmują:</w:t>
      </w:r>
    </w:p>
    <w:p w:rsidR="00140EDB" w:rsidRPr="00D9148E" w:rsidRDefault="00140EDB" w:rsidP="00140EDB">
      <w:pPr>
        <w:pStyle w:val="ListParagraph"/>
        <w:numPr>
          <w:ilvl w:val="0"/>
          <w:numId w:val="7"/>
        </w:numPr>
        <w:rPr>
          <w:rFonts w:eastAsia="Times New Roman" w:cs="Arial"/>
          <w:szCs w:val="24"/>
        </w:rPr>
      </w:pPr>
      <w:r>
        <w:t>Warunki finansowe, potrzeby i obowiązki każdego konkubenta;</w:t>
      </w:r>
    </w:p>
    <w:p w:rsidR="00140EDB" w:rsidRPr="00D9148E" w:rsidRDefault="00140EDB" w:rsidP="00140EDB">
      <w:pPr>
        <w:pStyle w:val="ListParagraph"/>
        <w:numPr>
          <w:ilvl w:val="0"/>
          <w:numId w:val="7"/>
        </w:numPr>
        <w:rPr>
          <w:rFonts w:eastAsia="Times New Roman" w:cs="Arial"/>
          <w:szCs w:val="24"/>
        </w:rPr>
      </w:pPr>
      <w:r>
        <w:lastRenderedPageBreak/>
        <w:t xml:space="preserve">Prawa innych osób (w tym prawa małżonków, byłych małżonków, partnerów cywilnych, byłych partnerów cywilnych i dzieci pozostających na utrzymaniu któregokolwiek z partnerów); </w:t>
      </w:r>
    </w:p>
    <w:p w:rsidR="00140EDB" w:rsidRPr="00D9148E" w:rsidRDefault="00140EDB" w:rsidP="00140EDB">
      <w:pPr>
        <w:pStyle w:val="ListParagraph"/>
        <w:numPr>
          <w:ilvl w:val="0"/>
          <w:numId w:val="7"/>
        </w:numPr>
        <w:rPr>
          <w:rFonts w:eastAsia="Times New Roman" w:cs="Arial"/>
          <w:szCs w:val="24"/>
        </w:rPr>
      </w:pPr>
      <w:r>
        <w:t>Czas trwania i charakter związku; oraz wkład finansowy i inny wniesiony przez każdą ze stron.</w:t>
      </w:r>
    </w:p>
    <w:p w:rsidR="00140EDB" w:rsidRPr="00D9148E" w:rsidRDefault="00140EDB" w:rsidP="00B5509F">
      <w:pPr>
        <w:rPr>
          <w:rFonts w:eastAsia="Times New Roman" w:cs="Arial"/>
          <w:szCs w:val="24"/>
          <w:lang w:eastAsia="en-IE"/>
        </w:rPr>
      </w:pPr>
    </w:p>
    <w:p w:rsidR="0085516E" w:rsidRPr="00D9148E" w:rsidRDefault="00140EDB" w:rsidP="0085516E">
      <w:pPr>
        <w:rPr>
          <w:rFonts w:eastAsia="Times New Roman" w:cs="Arial"/>
          <w:b/>
          <w:szCs w:val="24"/>
        </w:rPr>
      </w:pPr>
      <w:r>
        <w:rPr>
          <w:b/>
          <w:szCs w:val="24"/>
        </w:rPr>
        <w:t>Umowy konkubentów</w:t>
      </w:r>
    </w:p>
    <w:p w:rsidR="00140EDB" w:rsidRPr="00D9148E" w:rsidRDefault="00140EDB" w:rsidP="0085516E">
      <w:pPr>
        <w:rPr>
          <w:rFonts w:cs="Arial"/>
          <w:szCs w:val="24"/>
        </w:rPr>
      </w:pPr>
      <w:r>
        <w:t xml:space="preserve">Na wypadek rozpadu związku można zawrzeć umowę z konkubentem, regulującą warunki finansowe. </w:t>
      </w:r>
    </w:p>
    <w:p w:rsidR="0085516E" w:rsidRPr="00D9148E" w:rsidRDefault="0085516E" w:rsidP="00D04F0B">
      <w:pPr>
        <w:rPr>
          <w:rFonts w:cs="Arial"/>
          <w:szCs w:val="24"/>
        </w:rPr>
      </w:pPr>
    </w:p>
    <w:p w:rsidR="00D04F0B" w:rsidRPr="00D9148E" w:rsidRDefault="00140EDB" w:rsidP="00D04F0B">
      <w:pPr>
        <w:rPr>
          <w:rFonts w:cs="Arial"/>
          <w:szCs w:val="24"/>
        </w:rPr>
      </w:pPr>
      <w:r>
        <w:t>Aby umowa była ważna, muszą być spełnione następujące warunki:</w:t>
      </w:r>
    </w:p>
    <w:p w:rsidR="00D04F0B" w:rsidRPr="00D9148E" w:rsidRDefault="00140EDB" w:rsidP="00D04F0B">
      <w:pPr>
        <w:pStyle w:val="ListParagraph"/>
        <w:numPr>
          <w:ilvl w:val="0"/>
          <w:numId w:val="11"/>
        </w:numPr>
        <w:rPr>
          <w:rFonts w:eastAsia="Times New Roman" w:cs="Arial"/>
          <w:szCs w:val="24"/>
        </w:rPr>
      </w:pPr>
      <w:r>
        <w:t xml:space="preserve">Każda ze stron musi mieć niezależnego doradcę prawnego lub konkubenci po wspólnym zasięgnięciu porady prawnej, zrezygnowali z niezależnej porady prawnej; </w:t>
      </w:r>
    </w:p>
    <w:p w:rsidR="00D04F0B" w:rsidRPr="00D9148E" w:rsidRDefault="00140EDB" w:rsidP="00D04F0B">
      <w:pPr>
        <w:pStyle w:val="ListParagraph"/>
        <w:numPr>
          <w:ilvl w:val="0"/>
          <w:numId w:val="11"/>
        </w:numPr>
        <w:rPr>
          <w:rFonts w:eastAsia="Times New Roman" w:cs="Arial"/>
          <w:szCs w:val="24"/>
        </w:rPr>
      </w:pPr>
      <w:r>
        <w:t>Umowa ma formę kontraktu i jest zgodna z prawem o umowach; oraz</w:t>
      </w:r>
    </w:p>
    <w:p w:rsidR="00140EDB" w:rsidRPr="00D9148E" w:rsidRDefault="00140EDB" w:rsidP="00D04F0B">
      <w:pPr>
        <w:pStyle w:val="ListParagraph"/>
        <w:numPr>
          <w:ilvl w:val="0"/>
          <w:numId w:val="11"/>
        </w:numPr>
        <w:rPr>
          <w:rFonts w:eastAsia="Times New Roman" w:cs="Arial"/>
          <w:szCs w:val="24"/>
        </w:rPr>
      </w:pPr>
      <w:r>
        <w:t>Umowa została podpisana przez obie strony.</w:t>
      </w:r>
    </w:p>
    <w:p w:rsidR="00140EDB" w:rsidRPr="00D9148E" w:rsidRDefault="00140EDB" w:rsidP="00B5509F">
      <w:pPr>
        <w:rPr>
          <w:rFonts w:cs="Arial"/>
          <w:szCs w:val="24"/>
        </w:rPr>
      </w:pPr>
    </w:p>
    <w:p w:rsidR="00D04F0B" w:rsidRPr="00D9148E" w:rsidRDefault="00D04F0B" w:rsidP="00B5509F">
      <w:pPr>
        <w:rPr>
          <w:rFonts w:cs="Arial"/>
          <w:szCs w:val="24"/>
        </w:rPr>
      </w:pPr>
      <w:r>
        <w:t>Można wyjść z systemu zadośćuczynienia dla konkubentów zawierając umowę między konkubentami. Umowy między konkubentami są ważne przed sądem, jednak sąd może je uchylić lub zmienić umowę, jeżeli wykonanie umowy spowodowałoby poważną niesprawiedliwość.</w:t>
      </w:r>
    </w:p>
    <w:p w:rsidR="00D04F0B" w:rsidRPr="00D9148E" w:rsidRDefault="00D04F0B" w:rsidP="00B5509F">
      <w:pPr>
        <w:rPr>
          <w:rFonts w:cs="Arial"/>
          <w:szCs w:val="24"/>
        </w:rPr>
      </w:pPr>
    </w:p>
    <w:p w:rsidR="00D04F0B" w:rsidRPr="00D9148E" w:rsidRDefault="00D04F0B" w:rsidP="00B5509F">
      <w:pPr>
        <w:rPr>
          <w:rFonts w:cs="Arial"/>
          <w:b/>
          <w:szCs w:val="24"/>
        </w:rPr>
      </w:pPr>
      <w:r>
        <w:rPr>
          <w:b/>
          <w:szCs w:val="24"/>
        </w:rPr>
        <w:t xml:space="preserve">Przemoc domowa </w:t>
      </w:r>
    </w:p>
    <w:p w:rsidR="00D04F0B" w:rsidRPr="00D9148E" w:rsidRDefault="00D04F0B" w:rsidP="00B5509F">
      <w:pPr>
        <w:rPr>
          <w:rFonts w:cs="Arial"/>
          <w:szCs w:val="24"/>
        </w:rPr>
      </w:pPr>
      <w:r>
        <w:t>Konkubenci mogą korzystać ze środków zaradczych dostępnych na mocy ustawy o przemocy domowej:</w:t>
      </w:r>
    </w:p>
    <w:p w:rsidR="008077C6" w:rsidRPr="00D9148E" w:rsidRDefault="008077C6" w:rsidP="00B5509F">
      <w:pPr>
        <w:rPr>
          <w:rFonts w:cs="Arial"/>
          <w:szCs w:val="24"/>
        </w:rPr>
      </w:pPr>
    </w:p>
    <w:p w:rsidR="00C4474C" w:rsidRPr="00C4474C" w:rsidRDefault="00C4474C" w:rsidP="009747FB">
      <w:pPr>
        <w:rPr>
          <w:rFonts w:cs="Arial"/>
          <w:b/>
          <w:szCs w:val="24"/>
        </w:rPr>
      </w:pPr>
      <w:r>
        <w:rPr>
          <w:b/>
          <w:szCs w:val="24"/>
        </w:rPr>
        <w:t>Kiedy sąd może wydać długoterminowy nakaz ochronny (Safety order) konkubentom?</w:t>
      </w:r>
    </w:p>
    <w:p w:rsidR="00C4474C" w:rsidRPr="00C4474C" w:rsidRDefault="00C4474C" w:rsidP="00C4474C">
      <w:pPr>
        <w:numPr>
          <w:ilvl w:val="0"/>
          <w:numId w:val="12"/>
        </w:numPr>
        <w:rPr>
          <w:rFonts w:cs="Arial"/>
          <w:szCs w:val="24"/>
        </w:rPr>
      </w:pPr>
      <w:r>
        <w:t>Sąd może wydać długoterminowy nakaz ochronny (Safety order) (również nakaz Protection order), jeżeli strony żyją razem w bliskim związku.</w:t>
      </w:r>
    </w:p>
    <w:p w:rsidR="00C4474C" w:rsidRPr="00C4474C" w:rsidRDefault="00C4474C" w:rsidP="009747FB">
      <w:pPr>
        <w:ind w:left="360"/>
        <w:rPr>
          <w:rFonts w:cs="Arial"/>
          <w:szCs w:val="24"/>
        </w:rPr>
      </w:pPr>
      <w:r>
        <w:t xml:space="preserve"> </w:t>
      </w:r>
    </w:p>
    <w:p w:rsidR="00C4474C" w:rsidRPr="00C4474C" w:rsidRDefault="00C4474C" w:rsidP="009747FB">
      <w:pPr>
        <w:rPr>
          <w:rFonts w:cs="Arial"/>
          <w:b/>
          <w:szCs w:val="24"/>
        </w:rPr>
      </w:pPr>
      <w:r>
        <w:rPr>
          <w:b/>
          <w:szCs w:val="24"/>
        </w:rPr>
        <w:t>Kiedy sąd może wydać zakaz zbliżania się i nakaz opuszczenia lokalu (Barring order) konkubentom?</w:t>
      </w:r>
    </w:p>
    <w:p w:rsidR="00C4474C" w:rsidRPr="00C4474C" w:rsidRDefault="00C4474C" w:rsidP="00C4474C">
      <w:pPr>
        <w:numPr>
          <w:ilvl w:val="0"/>
          <w:numId w:val="12"/>
        </w:numPr>
        <w:rPr>
          <w:rFonts w:cs="Arial"/>
          <w:szCs w:val="24"/>
        </w:rPr>
      </w:pPr>
      <w:r>
        <w:t>Sąd może wydać zakaz zbliżania się i nakaz opuszczenia lokalu (Barring order), konkubentom, którzy żyli razem w bliskim związku</w:t>
      </w:r>
    </w:p>
    <w:p w:rsidR="00C4474C" w:rsidRPr="00C4474C" w:rsidRDefault="00C4474C" w:rsidP="006664F7">
      <w:pPr>
        <w:ind w:left="360"/>
        <w:rPr>
          <w:rFonts w:cs="Arial"/>
          <w:szCs w:val="24"/>
        </w:rPr>
      </w:pPr>
    </w:p>
    <w:p w:rsidR="00C4474C" w:rsidRPr="00C4474C" w:rsidRDefault="00C4474C" w:rsidP="009747FB">
      <w:pPr>
        <w:rPr>
          <w:rFonts w:cs="Arial"/>
          <w:b/>
          <w:szCs w:val="24"/>
        </w:rPr>
      </w:pPr>
      <w:r>
        <w:rPr>
          <w:b/>
          <w:szCs w:val="24"/>
        </w:rPr>
        <w:t>Kiedy sąd może wydać długoterminowy nakaz ochronny (Safety order) nakaz ochrony (Protection order) osobom, które nie mieszkają razem?</w:t>
      </w:r>
    </w:p>
    <w:p w:rsidR="00C4474C" w:rsidRDefault="00C4474C" w:rsidP="00C4474C">
      <w:pPr>
        <w:numPr>
          <w:ilvl w:val="0"/>
          <w:numId w:val="12"/>
        </w:numPr>
        <w:rPr>
          <w:rFonts w:cs="Arial"/>
          <w:szCs w:val="24"/>
        </w:rPr>
      </w:pPr>
      <w:r>
        <w:t>Wszyscy partnerzy w bliskiej relacji mogą starać się o długoterminowy nakaz ochrony (Safety order) oraz nakaz ochrony (Protection order) ochronę i nie muszą mieszkać razem.</w:t>
      </w:r>
    </w:p>
    <w:p w:rsidR="006664F7" w:rsidRPr="00C4474C" w:rsidRDefault="006664F7" w:rsidP="006664F7">
      <w:pPr>
        <w:ind w:left="360"/>
        <w:rPr>
          <w:rFonts w:cs="Arial"/>
          <w:szCs w:val="24"/>
        </w:rPr>
      </w:pPr>
    </w:p>
    <w:p w:rsidR="00004F87" w:rsidRDefault="00C4474C" w:rsidP="005B6F9A">
      <w:pPr>
        <w:rPr>
          <w:rFonts w:cs="Arial"/>
          <w:b/>
          <w:szCs w:val="24"/>
        </w:rPr>
      </w:pPr>
      <w:r>
        <w:rPr>
          <w:b/>
          <w:szCs w:val="24"/>
        </w:rPr>
        <w:t>Kiedy nakaz opuszczenia lokalu (Barring order) nie zostanie wydany konkubentom?</w:t>
      </w:r>
    </w:p>
    <w:p w:rsidR="00C4474C" w:rsidRPr="00004F87" w:rsidRDefault="00C4474C" w:rsidP="00004F87">
      <w:pPr>
        <w:pStyle w:val="ListParagraph"/>
        <w:numPr>
          <w:ilvl w:val="0"/>
          <w:numId w:val="17"/>
        </w:numPr>
        <w:rPr>
          <w:rFonts w:cs="Arial"/>
          <w:szCs w:val="24"/>
        </w:rPr>
      </w:pPr>
      <w:r>
        <w:t>Nakaz opuszczenia lokalu (Barring order) nie zostanie wydany konkubentowi, który jest właścicielem miejsca zamieszkania lub który ma większe prawa własności niż osoba wnioskująca o ochronę.</w:t>
      </w:r>
    </w:p>
    <w:p w:rsidR="00D04F0B" w:rsidRPr="006664F7" w:rsidRDefault="00D04F0B" w:rsidP="00B5509F">
      <w:pPr>
        <w:rPr>
          <w:rFonts w:cs="Arial"/>
          <w:b/>
          <w:szCs w:val="24"/>
        </w:rPr>
      </w:pPr>
    </w:p>
    <w:p w:rsidR="00A7247E" w:rsidRPr="00D00D8B" w:rsidRDefault="00D00D8B" w:rsidP="00B5509F">
      <w:pPr>
        <w:rPr>
          <w:rFonts w:cs="Arial"/>
          <w:szCs w:val="24"/>
        </w:rPr>
      </w:pPr>
      <w:r>
        <w:rPr>
          <w:b/>
          <w:szCs w:val="24"/>
        </w:rPr>
        <w:t>Broszura nr 6</w:t>
      </w:r>
      <w:r>
        <w:t xml:space="preserve"> - </w:t>
      </w:r>
      <w:r>
        <w:rPr>
          <w:b/>
          <w:szCs w:val="24"/>
        </w:rPr>
        <w:t>Przemoc domowa</w:t>
      </w:r>
      <w:r>
        <w:t xml:space="preserve"> zawiera informacje na temat środków dostępnych na mocy Ustawy o przemocy domowej.</w:t>
      </w:r>
    </w:p>
    <w:p w:rsidR="00A7247E" w:rsidRPr="00D9148E" w:rsidRDefault="00A7247E" w:rsidP="00B5509F">
      <w:pPr>
        <w:rPr>
          <w:rFonts w:cs="Arial"/>
          <w:szCs w:val="24"/>
        </w:rPr>
      </w:pPr>
    </w:p>
    <w:p w:rsidR="00A7247E" w:rsidRPr="00D9148E" w:rsidRDefault="00A7247E" w:rsidP="00B5509F">
      <w:pPr>
        <w:rPr>
          <w:rFonts w:cs="Arial"/>
          <w:b/>
          <w:szCs w:val="24"/>
        </w:rPr>
      </w:pPr>
      <w:r>
        <w:rPr>
          <w:b/>
          <w:szCs w:val="24"/>
        </w:rPr>
        <w:t>Prawa własności</w:t>
      </w:r>
    </w:p>
    <w:p w:rsidR="00A7247E" w:rsidRPr="00D9148E" w:rsidRDefault="00A7247E" w:rsidP="00B5509F">
      <w:pPr>
        <w:rPr>
          <w:rFonts w:cs="Arial"/>
          <w:szCs w:val="24"/>
        </w:rPr>
      </w:pPr>
      <w:r>
        <w:t>O ile konkubenci nie są współwłaścicielami mienia (oboje są zarejestrowanymi właścicielami lub nazwiska obojga są wpisane do tytułu własności), konkubent nie ma prawa do dziedziczenia żadnej własności konkubenta po jego śmierci. W pewnych okolicznościach można ubiegać się o udział w majątku zmarłego.  Konkubenci mogą zwrócić szczególną uwagę na znaczenie sporządzenia testamentu.</w:t>
      </w:r>
    </w:p>
    <w:p w:rsidR="00A7247E" w:rsidRPr="00D9148E" w:rsidRDefault="00A7247E" w:rsidP="00B5509F">
      <w:pPr>
        <w:rPr>
          <w:rFonts w:cs="Arial"/>
          <w:szCs w:val="24"/>
        </w:rPr>
      </w:pPr>
    </w:p>
    <w:p w:rsidR="00004F87" w:rsidRPr="00DC4023" w:rsidRDefault="00004F87" w:rsidP="00004F87">
      <w:pPr>
        <w:shd w:val="clear" w:color="auto" w:fill="FFFFFF" w:themeFill="background1"/>
      </w:pPr>
      <w:r>
        <w:t>Centrala: Legal Aid Board, Quay Street, Cahirciveen, Co. Kerry,</w:t>
      </w:r>
      <w:r>
        <w:rPr>
          <w:color w:val="333333"/>
        </w:rPr>
        <w:t xml:space="preserve"> V23 RD36</w:t>
      </w:r>
      <w:r>
        <w:t xml:space="preserve"> </w:t>
      </w:r>
    </w:p>
    <w:p w:rsidR="00004F87" w:rsidRPr="00DC4023" w:rsidRDefault="00004F87" w:rsidP="00004F87">
      <w:pPr>
        <w:shd w:val="clear" w:color="auto" w:fill="FFFFFF" w:themeFill="background1"/>
      </w:pPr>
      <w:r>
        <w:t>Tel: (066) 947 1000</w:t>
      </w:r>
    </w:p>
    <w:p w:rsidR="00004F87" w:rsidRPr="00DC4023" w:rsidRDefault="00004F87" w:rsidP="00004F87">
      <w:pPr>
        <w:shd w:val="clear" w:color="auto" w:fill="FFFFFF" w:themeFill="background1"/>
      </w:pPr>
      <w:r>
        <w:t>Faks: (066) 947 1035</w:t>
      </w:r>
    </w:p>
    <w:p w:rsidR="00004F87" w:rsidRPr="00DC4023" w:rsidRDefault="00004F87" w:rsidP="00004F87">
      <w:pPr>
        <w:shd w:val="clear" w:color="auto" w:fill="FFFFFF" w:themeFill="background1"/>
      </w:pPr>
      <w:r>
        <w:t>Infolinia: 1890 615 2000</w:t>
      </w:r>
    </w:p>
    <w:p w:rsidR="00004F87" w:rsidRPr="00DC4023" w:rsidRDefault="00004F87" w:rsidP="00004F87">
      <w:pPr>
        <w:shd w:val="clear" w:color="auto" w:fill="FFFFFF" w:themeFill="background1"/>
      </w:pPr>
      <w:r>
        <w:t xml:space="preserve">Witryna internetowa: </w:t>
      </w:r>
      <w:hyperlink r:id="rId9" w:history="1">
        <w:r>
          <w:rPr>
            <w:rStyle w:val="Hyperlink"/>
          </w:rPr>
          <w:t>www.legalaidboard.ie</w:t>
        </w:r>
      </w:hyperlink>
    </w:p>
    <w:p w:rsidR="0085516E" w:rsidRPr="00D9148E" w:rsidRDefault="0085516E" w:rsidP="00B5509F">
      <w:pPr>
        <w:rPr>
          <w:rFonts w:cs="Arial"/>
          <w:szCs w:val="24"/>
        </w:rPr>
      </w:pPr>
    </w:p>
    <w:sectPr w:rsidR="0085516E" w:rsidRPr="00D9148E" w:rsidSect="00B933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92" w:rsidRDefault="00C60A92" w:rsidP="00C60A92">
      <w:r>
        <w:separator/>
      </w:r>
    </w:p>
  </w:endnote>
  <w:endnote w:type="continuationSeparator" w:id="0">
    <w:p w:rsidR="00C60A92" w:rsidRDefault="00C60A92" w:rsidP="00C6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92" w:rsidRDefault="00C60A92" w:rsidP="00C60A92">
      <w:r>
        <w:separator/>
      </w:r>
    </w:p>
  </w:footnote>
  <w:footnote w:type="continuationSeparator" w:id="0">
    <w:p w:rsidR="00C60A92" w:rsidRDefault="00C60A92" w:rsidP="00C6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92" w:rsidRDefault="00C60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55A"/>
    <w:multiLevelType w:val="hybridMultilevel"/>
    <w:tmpl w:val="DEDE8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0C20497"/>
    <w:multiLevelType w:val="hybridMultilevel"/>
    <w:tmpl w:val="A9ACA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1871855"/>
    <w:multiLevelType w:val="hybridMultilevel"/>
    <w:tmpl w:val="74C65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9466DC"/>
    <w:multiLevelType w:val="hybridMultilevel"/>
    <w:tmpl w:val="C3B0D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D0F0130"/>
    <w:multiLevelType w:val="hybridMultilevel"/>
    <w:tmpl w:val="847C2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2095AD5"/>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E1485"/>
    <w:multiLevelType w:val="hybridMultilevel"/>
    <w:tmpl w:val="BB10E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B643638"/>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361A7"/>
    <w:multiLevelType w:val="multilevel"/>
    <w:tmpl w:val="DAD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25D37"/>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05BBC"/>
    <w:multiLevelType w:val="hybridMultilevel"/>
    <w:tmpl w:val="FB3A9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F8A0CB9"/>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02AD0"/>
    <w:multiLevelType w:val="multilevel"/>
    <w:tmpl w:val="3C14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BB7EF5"/>
    <w:multiLevelType w:val="hybridMultilevel"/>
    <w:tmpl w:val="AD029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76E063B"/>
    <w:multiLevelType w:val="multilevel"/>
    <w:tmpl w:val="DAD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C87FFE"/>
    <w:multiLevelType w:val="hybridMultilevel"/>
    <w:tmpl w:val="1AB28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C0109FA"/>
    <w:multiLevelType w:val="hybridMultilevel"/>
    <w:tmpl w:val="D3AE677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14"/>
  </w:num>
  <w:num w:numId="5">
    <w:abstractNumId w:val="13"/>
  </w:num>
  <w:num w:numId="6">
    <w:abstractNumId w:val="2"/>
  </w:num>
  <w:num w:numId="7">
    <w:abstractNumId w:val="11"/>
  </w:num>
  <w:num w:numId="8">
    <w:abstractNumId w:val="8"/>
  </w:num>
  <w:num w:numId="9">
    <w:abstractNumId w:val="12"/>
  </w:num>
  <w:num w:numId="10">
    <w:abstractNumId w:val="9"/>
  </w:num>
  <w:num w:numId="11">
    <w:abstractNumId w:val="7"/>
  </w:num>
  <w:num w:numId="12">
    <w:abstractNumId w:val="5"/>
  </w:num>
  <w:num w:numId="13">
    <w:abstractNumId w:val="0"/>
  </w:num>
  <w:num w:numId="14">
    <w:abstractNumId w:val="16"/>
  </w:num>
  <w:num w:numId="15">
    <w:abstractNumId w:val="1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removePersonalInformation/>
  <w:removeDateAndTime/>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F8"/>
    <w:rsid w:val="00004F87"/>
    <w:rsid w:val="000356E3"/>
    <w:rsid w:val="00057C51"/>
    <w:rsid w:val="00140EDB"/>
    <w:rsid w:val="00152A39"/>
    <w:rsid w:val="001A535D"/>
    <w:rsid w:val="001E2F96"/>
    <w:rsid w:val="00255EDA"/>
    <w:rsid w:val="0027619C"/>
    <w:rsid w:val="00355F0D"/>
    <w:rsid w:val="00371FE2"/>
    <w:rsid w:val="003E0581"/>
    <w:rsid w:val="00402564"/>
    <w:rsid w:val="00443924"/>
    <w:rsid w:val="0048496A"/>
    <w:rsid w:val="00497728"/>
    <w:rsid w:val="00505E5A"/>
    <w:rsid w:val="00591DBC"/>
    <w:rsid w:val="005B6F9A"/>
    <w:rsid w:val="006664F7"/>
    <w:rsid w:val="006D3801"/>
    <w:rsid w:val="00746C2B"/>
    <w:rsid w:val="007D09BA"/>
    <w:rsid w:val="008077C6"/>
    <w:rsid w:val="00812CB9"/>
    <w:rsid w:val="0085516E"/>
    <w:rsid w:val="008960C0"/>
    <w:rsid w:val="008B3242"/>
    <w:rsid w:val="008D5398"/>
    <w:rsid w:val="009374D5"/>
    <w:rsid w:val="009747FB"/>
    <w:rsid w:val="009854C3"/>
    <w:rsid w:val="00986684"/>
    <w:rsid w:val="00995DDE"/>
    <w:rsid w:val="009F09DC"/>
    <w:rsid w:val="009F5EBF"/>
    <w:rsid w:val="00A2709A"/>
    <w:rsid w:val="00A7247E"/>
    <w:rsid w:val="00AB404F"/>
    <w:rsid w:val="00AD1E5B"/>
    <w:rsid w:val="00AF76D5"/>
    <w:rsid w:val="00B112CC"/>
    <w:rsid w:val="00B25454"/>
    <w:rsid w:val="00B5509F"/>
    <w:rsid w:val="00B627F0"/>
    <w:rsid w:val="00B773CA"/>
    <w:rsid w:val="00B864D1"/>
    <w:rsid w:val="00B933A8"/>
    <w:rsid w:val="00BE5840"/>
    <w:rsid w:val="00C052C5"/>
    <w:rsid w:val="00C1141B"/>
    <w:rsid w:val="00C21C7D"/>
    <w:rsid w:val="00C271B3"/>
    <w:rsid w:val="00C4474C"/>
    <w:rsid w:val="00C577E0"/>
    <w:rsid w:val="00C60A92"/>
    <w:rsid w:val="00C85E45"/>
    <w:rsid w:val="00C9335A"/>
    <w:rsid w:val="00CC2ED4"/>
    <w:rsid w:val="00D00D8B"/>
    <w:rsid w:val="00D04F0B"/>
    <w:rsid w:val="00D9148E"/>
    <w:rsid w:val="00DE6E35"/>
    <w:rsid w:val="00E046F8"/>
    <w:rsid w:val="00E319D3"/>
    <w:rsid w:val="00E7764F"/>
    <w:rsid w:val="00F400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9F"/>
    <w:pPr>
      <w:ind w:left="720"/>
      <w:contextualSpacing/>
    </w:pPr>
  </w:style>
  <w:style w:type="character" w:styleId="Hyperlink">
    <w:name w:val="Hyperlink"/>
    <w:basedOn w:val="DefaultParagraphFont"/>
    <w:uiPriority w:val="99"/>
    <w:unhideWhenUsed/>
    <w:rsid w:val="00DE6E35"/>
    <w:rPr>
      <w:color w:val="0000FF" w:themeColor="hyperlink"/>
      <w:u w:val="single"/>
    </w:rPr>
  </w:style>
  <w:style w:type="paragraph" w:styleId="NormalWeb">
    <w:name w:val="Normal (Web)"/>
    <w:basedOn w:val="Normal"/>
    <w:uiPriority w:val="99"/>
    <w:semiHidden/>
    <w:unhideWhenUsed/>
    <w:rsid w:val="00140EDB"/>
    <w:pPr>
      <w:spacing w:before="100" w:beforeAutospacing="1" w:after="100" w:afterAutospacing="1"/>
    </w:pPr>
    <w:rPr>
      <w:rFonts w:eastAsia="Times New Roman" w:cs="Times New Roman"/>
      <w:szCs w:val="24"/>
      <w:lang w:eastAsia="en-IE"/>
    </w:rPr>
  </w:style>
  <w:style w:type="paragraph" w:styleId="BalloonText">
    <w:name w:val="Balloon Text"/>
    <w:basedOn w:val="Normal"/>
    <w:link w:val="BalloonTextChar"/>
    <w:uiPriority w:val="99"/>
    <w:semiHidden/>
    <w:unhideWhenUsed/>
    <w:rsid w:val="00986684"/>
    <w:rPr>
      <w:rFonts w:ascii="Tahoma" w:hAnsi="Tahoma" w:cs="Tahoma"/>
      <w:sz w:val="16"/>
      <w:szCs w:val="16"/>
    </w:rPr>
  </w:style>
  <w:style w:type="character" w:customStyle="1" w:styleId="BalloonTextChar">
    <w:name w:val="Balloon Text Char"/>
    <w:basedOn w:val="DefaultParagraphFont"/>
    <w:link w:val="BalloonText"/>
    <w:uiPriority w:val="99"/>
    <w:semiHidden/>
    <w:rsid w:val="00986684"/>
    <w:rPr>
      <w:rFonts w:ascii="Tahoma" w:hAnsi="Tahoma" w:cs="Tahoma"/>
      <w:sz w:val="16"/>
      <w:szCs w:val="16"/>
    </w:rPr>
  </w:style>
  <w:style w:type="paragraph" w:styleId="Header">
    <w:name w:val="header"/>
    <w:basedOn w:val="Normal"/>
    <w:link w:val="HeaderChar"/>
    <w:uiPriority w:val="99"/>
    <w:semiHidden/>
    <w:unhideWhenUsed/>
    <w:rsid w:val="00C60A92"/>
    <w:pPr>
      <w:tabs>
        <w:tab w:val="center" w:pos="4513"/>
        <w:tab w:val="right" w:pos="9026"/>
      </w:tabs>
    </w:pPr>
  </w:style>
  <w:style w:type="character" w:customStyle="1" w:styleId="HeaderChar">
    <w:name w:val="Header Char"/>
    <w:basedOn w:val="DefaultParagraphFont"/>
    <w:link w:val="Header"/>
    <w:uiPriority w:val="99"/>
    <w:semiHidden/>
    <w:rsid w:val="00C60A92"/>
    <w:rPr>
      <w:rFonts w:ascii="Times New Roman" w:hAnsi="Times New Roman"/>
      <w:sz w:val="24"/>
    </w:rPr>
  </w:style>
  <w:style w:type="paragraph" w:styleId="Footer">
    <w:name w:val="footer"/>
    <w:basedOn w:val="Normal"/>
    <w:link w:val="FooterChar"/>
    <w:uiPriority w:val="99"/>
    <w:semiHidden/>
    <w:unhideWhenUsed/>
    <w:rsid w:val="00C60A92"/>
    <w:pPr>
      <w:tabs>
        <w:tab w:val="center" w:pos="4513"/>
        <w:tab w:val="right" w:pos="9026"/>
      </w:tabs>
    </w:pPr>
  </w:style>
  <w:style w:type="character" w:customStyle="1" w:styleId="FooterChar">
    <w:name w:val="Footer Char"/>
    <w:basedOn w:val="DefaultParagraphFont"/>
    <w:link w:val="Footer"/>
    <w:uiPriority w:val="99"/>
    <w:semiHidden/>
    <w:rsid w:val="00C60A9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9F"/>
    <w:pPr>
      <w:ind w:left="720"/>
      <w:contextualSpacing/>
    </w:pPr>
  </w:style>
  <w:style w:type="character" w:styleId="Hyperlink">
    <w:name w:val="Hyperlink"/>
    <w:basedOn w:val="DefaultParagraphFont"/>
    <w:uiPriority w:val="99"/>
    <w:unhideWhenUsed/>
    <w:rsid w:val="00DE6E35"/>
    <w:rPr>
      <w:color w:val="0000FF" w:themeColor="hyperlink"/>
      <w:u w:val="single"/>
    </w:rPr>
  </w:style>
  <w:style w:type="paragraph" w:styleId="NormalWeb">
    <w:name w:val="Normal (Web)"/>
    <w:basedOn w:val="Normal"/>
    <w:uiPriority w:val="99"/>
    <w:semiHidden/>
    <w:unhideWhenUsed/>
    <w:rsid w:val="00140EDB"/>
    <w:pPr>
      <w:spacing w:before="100" w:beforeAutospacing="1" w:after="100" w:afterAutospacing="1"/>
    </w:pPr>
    <w:rPr>
      <w:rFonts w:eastAsia="Times New Roman" w:cs="Times New Roman"/>
      <w:szCs w:val="24"/>
      <w:lang w:eastAsia="en-IE"/>
    </w:rPr>
  </w:style>
  <w:style w:type="paragraph" w:styleId="BalloonText">
    <w:name w:val="Balloon Text"/>
    <w:basedOn w:val="Normal"/>
    <w:link w:val="BalloonTextChar"/>
    <w:uiPriority w:val="99"/>
    <w:semiHidden/>
    <w:unhideWhenUsed/>
    <w:rsid w:val="00986684"/>
    <w:rPr>
      <w:rFonts w:ascii="Tahoma" w:hAnsi="Tahoma" w:cs="Tahoma"/>
      <w:sz w:val="16"/>
      <w:szCs w:val="16"/>
    </w:rPr>
  </w:style>
  <w:style w:type="character" w:customStyle="1" w:styleId="BalloonTextChar">
    <w:name w:val="Balloon Text Char"/>
    <w:basedOn w:val="DefaultParagraphFont"/>
    <w:link w:val="BalloonText"/>
    <w:uiPriority w:val="99"/>
    <w:semiHidden/>
    <w:rsid w:val="00986684"/>
    <w:rPr>
      <w:rFonts w:ascii="Tahoma" w:hAnsi="Tahoma" w:cs="Tahoma"/>
      <w:sz w:val="16"/>
      <w:szCs w:val="16"/>
    </w:rPr>
  </w:style>
  <w:style w:type="paragraph" w:styleId="Header">
    <w:name w:val="header"/>
    <w:basedOn w:val="Normal"/>
    <w:link w:val="HeaderChar"/>
    <w:uiPriority w:val="99"/>
    <w:semiHidden/>
    <w:unhideWhenUsed/>
    <w:rsid w:val="00C60A92"/>
    <w:pPr>
      <w:tabs>
        <w:tab w:val="center" w:pos="4513"/>
        <w:tab w:val="right" w:pos="9026"/>
      </w:tabs>
    </w:pPr>
  </w:style>
  <w:style w:type="character" w:customStyle="1" w:styleId="HeaderChar">
    <w:name w:val="Header Char"/>
    <w:basedOn w:val="DefaultParagraphFont"/>
    <w:link w:val="Header"/>
    <w:uiPriority w:val="99"/>
    <w:semiHidden/>
    <w:rsid w:val="00C60A92"/>
    <w:rPr>
      <w:rFonts w:ascii="Times New Roman" w:hAnsi="Times New Roman"/>
      <w:sz w:val="24"/>
    </w:rPr>
  </w:style>
  <w:style w:type="paragraph" w:styleId="Footer">
    <w:name w:val="footer"/>
    <w:basedOn w:val="Normal"/>
    <w:link w:val="FooterChar"/>
    <w:uiPriority w:val="99"/>
    <w:semiHidden/>
    <w:unhideWhenUsed/>
    <w:rsid w:val="00C60A92"/>
    <w:pPr>
      <w:tabs>
        <w:tab w:val="center" w:pos="4513"/>
        <w:tab w:val="right" w:pos="9026"/>
      </w:tabs>
    </w:pPr>
  </w:style>
  <w:style w:type="character" w:customStyle="1" w:styleId="FooterChar">
    <w:name w:val="Footer Char"/>
    <w:basedOn w:val="DefaultParagraphFont"/>
    <w:link w:val="Footer"/>
    <w:uiPriority w:val="99"/>
    <w:semiHidden/>
    <w:rsid w:val="00C60A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3853">
      <w:bodyDiv w:val="1"/>
      <w:marLeft w:val="0"/>
      <w:marRight w:val="0"/>
      <w:marTop w:val="0"/>
      <w:marBottom w:val="0"/>
      <w:divBdr>
        <w:top w:val="none" w:sz="0" w:space="0" w:color="auto"/>
        <w:left w:val="none" w:sz="0" w:space="0" w:color="auto"/>
        <w:bottom w:val="none" w:sz="0" w:space="0" w:color="auto"/>
        <w:right w:val="none" w:sz="0" w:space="0" w:color="auto"/>
      </w:divBdr>
      <w:divsChild>
        <w:div w:id="379548673">
          <w:marLeft w:val="0"/>
          <w:marRight w:val="0"/>
          <w:marTop w:val="0"/>
          <w:marBottom w:val="0"/>
          <w:divBdr>
            <w:top w:val="none" w:sz="0" w:space="0" w:color="auto"/>
            <w:left w:val="none" w:sz="0" w:space="0" w:color="auto"/>
            <w:bottom w:val="none" w:sz="0" w:space="0" w:color="auto"/>
            <w:right w:val="none" w:sz="0" w:space="0" w:color="auto"/>
          </w:divBdr>
          <w:divsChild>
            <w:div w:id="124785536">
              <w:marLeft w:val="0"/>
              <w:marRight w:val="0"/>
              <w:marTop w:val="0"/>
              <w:marBottom w:val="0"/>
              <w:divBdr>
                <w:top w:val="none" w:sz="0" w:space="0" w:color="auto"/>
                <w:left w:val="none" w:sz="0" w:space="0" w:color="auto"/>
                <w:bottom w:val="none" w:sz="0" w:space="0" w:color="auto"/>
                <w:right w:val="none" w:sz="0" w:space="0" w:color="auto"/>
              </w:divBdr>
              <w:divsChild>
                <w:div w:id="284972055">
                  <w:marLeft w:val="0"/>
                  <w:marRight w:val="0"/>
                  <w:marTop w:val="0"/>
                  <w:marBottom w:val="0"/>
                  <w:divBdr>
                    <w:top w:val="none" w:sz="0" w:space="0" w:color="auto"/>
                    <w:left w:val="none" w:sz="0" w:space="0" w:color="auto"/>
                    <w:bottom w:val="none" w:sz="0" w:space="0" w:color="auto"/>
                    <w:right w:val="none" w:sz="0" w:space="0" w:color="auto"/>
                  </w:divBdr>
                  <w:divsChild>
                    <w:div w:id="16842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90447">
      <w:bodyDiv w:val="1"/>
      <w:marLeft w:val="0"/>
      <w:marRight w:val="0"/>
      <w:marTop w:val="0"/>
      <w:marBottom w:val="0"/>
      <w:divBdr>
        <w:top w:val="none" w:sz="0" w:space="0" w:color="auto"/>
        <w:left w:val="none" w:sz="0" w:space="0" w:color="auto"/>
        <w:bottom w:val="none" w:sz="0" w:space="0" w:color="auto"/>
        <w:right w:val="none" w:sz="0" w:space="0" w:color="auto"/>
      </w:divBdr>
      <w:divsChild>
        <w:div w:id="129834857">
          <w:marLeft w:val="0"/>
          <w:marRight w:val="0"/>
          <w:marTop w:val="0"/>
          <w:marBottom w:val="0"/>
          <w:divBdr>
            <w:top w:val="none" w:sz="0" w:space="0" w:color="auto"/>
            <w:left w:val="none" w:sz="0" w:space="0" w:color="auto"/>
            <w:bottom w:val="none" w:sz="0" w:space="0" w:color="auto"/>
            <w:right w:val="none" w:sz="0" w:space="0" w:color="auto"/>
          </w:divBdr>
          <w:divsChild>
            <w:div w:id="1749956625">
              <w:marLeft w:val="0"/>
              <w:marRight w:val="0"/>
              <w:marTop w:val="0"/>
              <w:marBottom w:val="0"/>
              <w:divBdr>
                <w:top w:val="none" w:sz="0" w:space="0" w:color="auto"/>
                <w:left w:val="none" w:sz="0" w:space="0" w:color="auto"/>
                <w:bottom w:val="none" w:sz="0" w:space="0" w:color="auto"/>
                <w:right w:val="none" w:sz="0" w:space="0" w:color="auto"/>
              </w:divBdr>
              <w:divsChild>
                <w:div w:id="1433354077">
                  <w:marLeft w:val="0"/>
                  <w:marRight w:val="0"/>
                  <w:marTop w:val="0"/>
                  <w:marBottom w:val="0"/>
                  <w:divBdr>
                    <w:top w:val="none" w:sz="0" w:space="0" w:color="auto"/>
                    <w:left w:val="none" w:sz="0" w:space="0" w:color="auto"/>
                    <w:bottom w:val="none" w:sz="0" w:space="0" w:color="auto"/>
                    <w:right w:val="none" w:sz="0" w:space="0" w:color="auto"/>
                  </w:divBdr>
                  <w:divsChild>
                    <w:div w:id="8808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1727">
      <w:bodyDiv w:val="1"/>
      <w:marLeft w:val="0"/>
      <w:marRight w:val="0"/>
      <w:marTop w:val="0"/>
      <w:marBottom w:val="0"/>
      <w:divBdr>
        <w:top w:val="none" w:sz="0" w:space="0" w:color="auto"/>
        <w:left w:val="none" w:sz="0" w:space="0" w:color="auto"/>
        <w:bottom w:val="none" w:sz="0" w:space="0" w:color="auto"/>
        <w:right w:val="none" w:sz="0" w:space="0" w:color="auto"/>
      </w:divBdr>
      <w:divsChild>
        <w:div w:id="881984751">
          <w:marLeft w:val="0"/>
          <w:marRight w:val="0"/>
          <w:marTop w:val="0"/>
          <w:marBottom w:val="0"/>
          <w:divBdr>
            <w:top w:val="none" w:sz="0" w:space="0" w:color="auto"/>
            <w:left w:val="none" w:sz="0" w:space="0" w:color="auto"/>
            <w:bottom w:val="none" w:sz="0" w:space="0" w:color="auto"/>
            <w:right w:val="none" w:sz="0" w:space="0" w:color="auto"/>
          </w:divBdr>
          <w:divsChild>
            <w:div w:id="680550415">
              <w:marLeft w:val="0"/>
              <w:marRight w:val="0"/>
              <w:marTop w:val="0"/>
              <w:marBottom w:val="0"/>
              <w:divBdr>
                <w:top w:val="none" w:sz="0" w:space="0" w:color="auto"/>
                <w:left w:val="none" w:sz="0" w:space="0" w:color="auto"/>
                <w:bottom w:val="none" w:sz="0" w:space="0" w:color="auto"/>
                <w:right w:val="none" w:sz="0" w:space="0" w:color="auto"/>
              </w:divBdr>
              <w:divsChild>
                <w:div w:id="815681115">
                  <w:marLeft w:val="0"/>
                  <w:marRight w:val="0"/>
                  <w:marTop w:val="0"/>
                  <w:marBottom w:val="0"/>
                  <w:divBdr>
                    <w:top w:val="none" w:sz="0" w:space="0" w:color="auto"/>
                    <w:left w:val="none" w:sz="0" w:space="0" w:color="auto"/>
                    <w:bottom w:val="none" w:sz="0" w:space="0" w:color="auto"/>
                    <w:right w:val="none" w:sz="0" w:space="0" w:color="auto"/>
                  </w:divBdr>
                  <w:divsChild>
                    <w:div w:id="7193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12335">
      <w:bodyDiv w:val="1"/>
      <w:marLeft w:val="0"/>
      <w:marRight w:val="0"/>
      <w:marTop w:val="0"/>
      <w:marBottom w:val="0"/>
      <w:divBdr>
        <w:top w:val="none" w:sz="0" w:space="0" w:color="auto"/>
        <w:left w:val="none" w:sz="0" w:space="0" w:color="auto"/>
        <w:bottom w:val="none" w:sz="0" w:space="0" w:color="auto"/>
        <w:right w:val="none" w:sz="0" w:space="0" w:color="auto"/>
      </w:divBdr>
      <w:divsChild>
        <w:div w:id="2025472820">
          <w:marLeft w:val="0"/>
          <w:marRight w:val="0"/>
          <w:marTop w:val="0"/>
          <w:marBottom w:val="0"/>
          <w:divBdr>
            <w:top w:val="none" w:sz="0" w:space="0" w:color="auto"/>
            <w:left w:val="none" w:sz="0" w:space="0" w:color="auto"/>
            <w:bottom w:val="none" w:sz="0" w:space="0" w:color="auto"/>
            <w:right w:val="none" w:sz="0" w:space="0" w:color="auto"/>
          </w:divBdr>
          <w:divsChild>
            <w:div w:id="124472258">
              <w:marLeft w:val="0"/>
              <w:marRight w:val="0"/>
              <w:marTop w:val="0"/>
              <w:marBottom w:val="0"/>
              <w:divBdr>
                <w:top w:val="none" w:sz="0" w:space="0" w:color="auto"/>
                <w:left w:val="none" w:sz="0" w:space="0" w:color="auto"/>
                <w:bottom w:val="none" w:sz="0" w:space="0" w:color="auto"/>
                <w:right w:val="none" w:sz="0" w:space="0" w:color="auto"/>
              </w:divBdr>
              <w:divsChild>
                <w:div w:id="1943564212">
                  <w:marLeft w:val="0"/>
                  <w:marRight w:val="0"/>
                  <w:marTop w:val="0"/>
                  <w:marBottom w:val="0"/>
                  <w:divBdr>
                    <w:top w:val="none" w:sz="0" w:space="0" w:color="auto"/>
                    <w:left w:val="none" w:sz="0" w:space="0" w:color="auto"/>
                    <w:bottom w:val="none" w:sz="0" w:space="0" w:color="auto"/>
                    <w:right w:val="none" w:sz="0" w:space="0" w:color="auto"/>
                  </w:divBdr>
                  <w:divsChild>
                    <w:div w:id="3120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0411">
      <w:bodyDiv w:val="1"/>
      <w:marLeft w:val="0"/>
      <w:marRight w:val="0"/>
      <w:marTop w:val="0"/>
      <w:marBottom w:val="0"/>
      <w:divBdr>
        <w:top w:val="none" w:sz="0" w:space="0" w:color="auto"/>
        <w:left w:val="none" w:sz="0" w:space="0" w:color="auto"/>
        <w:bottom w:val="none" w:sz="0" w:space="0" w:color="auto"/>
        <w:right w:val="none" w:sz="0" w:space="0" w:color="auto"/>
      </w:divBdr>
      <w:divsChild>
        <w:div w:id="527106871">
          <w:marLeft w:val="0"/>
          <w:marRight w:val="0"/>
          <w:marTop w:val="0"/>
          <w:marBottom w:val="0"/>
          <w:divBdr>
            <w:top w:val="none" w:sz="0" w:space="0" w:color="auto"/>
            <w:left w:val="none" w:sz="0" w:space="0" w:color="auto"/>
            <w:bottom w:val="none" w:sz="0" w:space="0" w:color="auto"/>
            <w:right w:val="none" w:sz="0" w:space="0" w:color="auto"/>
          </w:divBdr>
          <w:divsChild>
            <w:div w:id="703821880">
              <w:marLeft w:val="0"/>
              <w:marRight w:val="0"/>
              <w:marTop w:val="0"/>
              <w:marBottom w:val="0"/>
              <w:divBdr>
                <w:top w:val="none" w:sz="0" w:space="0" w:color="auto"/>
                <w:left w:val="none" w:sz="0" w:space="0" w:color="auto"/>
                <w:bottom w:val="none" w:sz="0" w:space="0" w:color="auto"/>
                <w:right w:val="none" w:sz="0" w:space="0" w:color="auto"/>
              </w:divBdr>
              <w:divsChild>
                <w:div w:id="197864842">
                  <w:marLeft w:val="0"/>
                  <w:marRight w:val="0"/>
                  <w:marTop w:val="0"/>
                  <w:marBottom w:val="0"/>
                  <w:divBdr>
                    <w:top w:val="none" w:sz="0" w:space="0" w:color="auto"/>
                    <w:left w:val="none" w:sz="0" w:space="0" w:color="auto"/>
                    <w:bottom w:val="none" w:sz="0" w:space="0" w:color="auto"/>
                    <w:right w:val="none" w:sz="0" w:space="0" w:color="auto"/>
                  </w:divBdr>
                  <w:divsChild>
                    <w:div w:id="3019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2019-03-13T15:07:00Z</dcterms:created>
  <dcterms:modified xsi:type="dcterms:W3CDTF">2019-03-13T15:07:00Z</dcterms:modified>
</cp:coreProperties>
</file>