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18" w:rsidRPr="001B4038" w:rsidRDefault="00472286" w:rsidP="00903E4E">
      <w:pPr>
        <w:autoSpaceDE w:val="0"/>
        <w:autoSpaceDN w:val="0"/>
        <w:adjustRightInd w:val="0"/>
        <w:rPr>
          <w:b/>
          <w:bCs w:val="0"/>
        </w:rPr>
      </w:pPr>
      <w:bookmarkStart w:id="0" w:name="_GoBack"/>
      <w:bookmarkEnd w:id="0"/>
      <w:r>
        <w:rPr>
          <w:b/>
          <w:lang w:val="pt-PT"/>
        </w:rPr>
        <w:t>FOLHETO Nº.8 – TESTAMENTOS E HERANÇAS</w:t>
      </w:r>
    </w:p>
    <w:p w:rsidR="00B73D51" w:rsidRDefault="00B73D51" w:rsidP="00903E4E">
      <w:pPr>
        <w:autoSpaceDE w:val="0"/>
        <w:autoSpaceDN w:val="0"/>
        <w:adjustRightInd w:val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601DD" w:rsidRPr="00F50BE5" w:rsidTr="00F601DD">
        <w:tc>
          <w:tcPr>
            <w:tcW w:w="8856" w:type="dxa"/>
          </w:tcPr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  <w:r>
              <w:rPr>
                <w:b/>
                <w:lang w:val="pt-PT"/>
              </w:rPr>
              <w:t xml:space="preserve">Um testamento é um documento legal em que você estabelece como quer que </w:t>
            </w:r>
            <w:r w:rsidR="008F5BCC">
              <w:rPr>
                <w:b/>
                <w:lang w:val="pt-PT"/>
              </w:rPr>
              <w:t>o seu património</w:t>
            </w:r>
            <w:r>
              <w:rPr>
                <w:b/>
                <w:lang w:val="pt-PT"/>
              </w:rPr>
              <w:t xml:space="preserve"> (</w:t>
            </w:r>
            <w:r w:rsidR="008F5BCC">
              <w:rPr>
                <w:b/>
                <w:lang w:val="pt-PT"/>
              </w:rPr>
              <w:t xml:space="preserve">designado </w:t>
            </w:r>
            <w:r>
              <w:rPr>
                <w:b/>
                <w:lang w:val="pt-PT"/>
              </w:rPr>
              <w:t xml:space="preserve">como os seus </w:t>
            </w:r>
            <w:r w:rsidR="008F5BCC">
              <w:rPr>
                <w:b/>
                <w:lang w:val="pt-PT"/>
              </w:rPr>
              <w:t>“</w:t>
            </w:r>
            <w:r>
              <w:rPr>
                <w:b/>
                <w:lang w:val="pt-PT"/>
              </w:rPr>
              <w:t xml:space="preserve">Bens") seja </w:t>
            </w:r>
            <w:r w:rsidR="008F5BCC">
              <w:rPr>
                <w:b/>
                <w:lang w:val="pt-PT"/>
              </w:rPr>
              <w:t xml:space="preserve">distribuído </w:t>
            </w:r>
            <w:r>
              <w:rPr>
                <w:b/>
                <w:lang w:val="pt-PT"/>
              </w:rPr>
              <w:t>quando morrer.</w:t>
            </w: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  <w:r>
              <w:rPr>
                <w:b/>
                <w:lang w:val="pt-PT"/>
              </w:rPr>
              <w:t>Um testamento pode ser feito por uma pessoa de mente sã, com mais de dezoito anos.</w:t>
            </w: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  <w:r>
              <w:rPr>
                <w:b/>
                <w:lang w:val="pt-PT"/>
              </w:rPr>
              <w:t>Se não fizer um testamento (morrerá "ab intestato"), os seus bens serão distribuídos de acordo com as regras estabelecidas na legislação.</w:t>
            </w: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  <w:r>
              <w:rPr>
                <w:b/>
                <w:lang w:val="pt-PT"/>
              </w:rPr>
              <w:t xml:space="preserve">Mesmo se fizer um testamento, o seu cônjuge terá direito a uma "quota legal por direito" – metade </w:t>
            </w:r>
            <w:r w:rsidR="00BB307E">
              <w:rPr>
                <w:b/>
                <w:lang w:val="pt-PT"/>
              </w:rPr>
              <w:t>do património</w:t>
            </w:r>
            <w:r>
              <w:rPr>
                <w:b/>
                <w:lang w:val="pt-PT"/>
              </w:rPr>
              <w:t xml:space="preserve">, se não houver filhos, um terço se os houver. </w:t>
            </w: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  <w:r>
              <w:rPr>
                <w:b/>
                <w:lang w:val="pt-PT"/>
              </w:rPr>
              <w:t>Os seus filhos poderão também reclamar uma parte dos seus bens se não tiver sido assegurada uma provisão adequada para eles.</w:t>
            </w:r>
          </w:p>
          <w:p w:rsidR="00F601DD" w:rsidRPr="00F50BE5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  <w:lang w:val="es-ES_tradnl"/>
              </w:rPr>
            </w:pPr>
          </w:p>
        </w:tc>
      </w:tr>
    </w:tbl>
    <w:p w:rsidR="004D4141" w:rsidRPr="00F50BE5" w:rsidRDefault="00B73D51" w:rsidP="00903E4E">
      <w:pPr>
        <w:autoSpaceDE w:val="0"/>
        <w:autoSpaceDN w:val="0"/>
        <w:adjustRightInd w:val="0"/>
        <w:rPr>
          <w:bCs w:val="0"/>
          <w:lang w:val="es-ES_tradnl"/>
        </w:rPr>
      </w:pPr>
      <w:r>
        <w:rPr>
          <w:bCs w:val="0"/>
          <w:lang w:val="pt-PT"/>
        </w:rPr>
        <w:t>No presente folheto por «cônjuge» entende-se o marido ou a mulher no casamento.</w:t>
      </w:r>
    </w:p>
    <w:p w:rsidR="004C14E0" w:rsidRPr="00F50BE5" w:rsidRDefault="004C14E0" w:rsidP="00903E4E">
      <w:pPr>
        <w:autoSpaceDE w:val="0"/>
        <w:autoSpaceDN w:val="0"/>
        <w:adjustRightInd w:val="0"/>
        <w:rPr>
          <w:bCs w:val="0"/>
          <w:lang w:val="es-ES_tradnl"/>
        </w:rPr>
      </w:pPr>
    </w:p>
    <w:p w:rsidR="00B73D51" w:rsidRPr="00F50BE5" w:rsidRDefault="00B73D51" w:rsidP="00903E4E">
      <w:pPr>
        <w:autoSpaceDE w:val="0"/>
        <w:autoSpaceDN w:val="0"/>
        <w:adjustRightInd w:val="0"/>
        <w:rPr>
          <w:b/>
          <w:bCs w:val="0"/>
          <w:u w:val="single"/>
          <w:lang w:val="es-ES_tradnl"/>
        </w:rPr>
      </w:pPr>
      <w:r>
        <w:rPr>
          <w:b/>
          <w:u w:val="single"/>
          <w:lang w:val="pt-PT"/>
        </w:rPr>
        <w:t>A elaboração de um testamento</w:t>
      </w:r>
    </w:p>
    <w:p w:rsidR="00FF6618" w:rsidRPr="00F50BE5" w:rsidRDefault="00C82B36" w:rsidP="00903E4E">
      <w:pPr>
        <w:autoSpaceDE w:val="0"/>
        <w:autoSpaceDN w:val="0"/>
        <w:adjustRightInd w:val="0"/>
        <w:rPr>
          <w:b/>
          <w:bCs w:val="0"/>
          <w:lang w:val="es-ES_tradnl"/>
        </w:rPr>
      </w:pPr>
      <w:r>
        <w:rPr>
          <w:b/>
          <w:lang w:val="pt-PT"/>
        </w:rPr>
        <w:t>Como posso ter certeza, que depois de falecido, os meus desejos serão realizados?</w:t>
      </w:r>
    </w:p>
    <w:p w:rsidR="005A7134" w:rsidRPr="00F50BE5" w:rsidRDefault="0084781B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Se fizer um testamento válido irá assegurar que, com certas limitações, os seus bens irão para as pessoas designadas no testamento. </w:t>
      </w:r>
    </w:p>
    <w:p w:rsidR="0084781B" w:rsidRPr="00F50BE5" w:rsidRDefault="0084781B" w:rsidP="00903E4E">
      <w:pPr>
        <w:autoSpaceDE w:val="0"/>
        <w:autoSpaceDN w:val="0"/>
        <w:adjustRightInd w:val="0"/>
        <w:rPr>
          <w:color w:val="000000"/>
          <w:lang w:val="es-ES_tradnl"/>
        </w:rPr>
      </w:pPr>
    </w:p>
    <w:p w:rsidR="00A0153C" w:rsidRPr="00F50BE5" w:rsidRDefault="00C77605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>A palavra “Bens” significa os ativos detidos por uma pessoa ao momento da morte, por exemplo, propriedades, bens e dinheiro.</w:t>
      </w:r>
    </w:p>
    <w:p w:rsidR="00A0153C" w:rsidRPr="00F50BE5" w:rsidRDefault="00A0153C" w:rsidP="00903E4E">
      <w:pPr>
        <w:autoSpaceDE w:val="0"/>
        <w:autoSpaceDN w:val="0"/>
        <w:adjustRightInd w:val="0"/>
        <w:rPr>
          <w:lang w:val="es-ES_tradnl"/>
        </w:rPr>
      </w:pPr>
    </w:p>
    <w:p w:rsidR="004D4141" w:rsidRPr="00F50BE5" w:rsidRDefault="004D4141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 xml:space="preserve">O que acontece se eu não tiver feito um testamento válido? </w:t>
      </w:r>
    </w:p>
    <w:p w:rsidR="00FF6618" w:rsidRPr="00F50BE5" w:rsidRDefault="0084781B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>Se morrer sem ter feito um testamento válido, os seus bens serão divididos de acordo com as regras estabelecidas na legislação.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</w:p>
    <w:p w:rsidR="004D4141" w:rsidRPr="00F50BE5" w:rsidRDefault="004D4141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Há uma idade limite para a elaboração de um testamento?</w:t>
      </w:r>
    </w:p>
    <w:p w:rsidR="004D4141" w:rsidRPr="00F50BE5" w:rsidRDefault="0084781B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>Deverá ter mais de dezoito anos de idade para fazer um testamento.</w:t>
      </w:r>
    </w:p>
    <w:p w:rsidR="004D4141" w:rsidRPr="00F50BE5" w:rsidRDefault="004D4141" w:rsidP="00903E4E">
      <w:pPr>
        <w:autoSpaceDE w:val="0"/>
        <w:autoSpaceDN w:val="0"/>
        <w:adjustRightInd w:val="0"/>
        <w:rPr>
          <w:lang w:val="es-ES_tradnl"/>
        </w:rPr>
      </w:pPr>
    </w:p>
    <w:p w:rsidR="004D4141" w:rsidRPr="00F50BE5" w:rsidRDefault="004D4141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Pode uma pessoa com um transtorno mental, por exemplo, demência, fazer um testamento?</w:t>
      </w:r>
    </w:p>
    <w:p w:rsidR="004D4141" w:rsidRPr="00F50BE5" w:rsidRDefault="004D4141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Deverá estar de mente sã para fazer um testamento válido. </w:t>
      </w:r>
    </w:p>
    <w:p w:rsidR="004D4141" w:rsidRPr="00F50BE5" w:rsidRDefault="004D4141" w:rsidP="00903E4E">
      <w:pPr>
        <w:autoSpaceDE w:val="0"/>
        <w:autoSpaceDN w:val="0"/>
        <w:adjustRightInd w:val="0"/>
        <w:rPr>
          <w:lang w:val="es-ES_tradnl"/>
        </w:rPr>
      </w:pPr>
    </w:p>
    <w:p w:rsidR="003D7C44" w:rsidRPr="00F50BE5" w:rsidRDefault="004D4141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Há outros requisitos para a elaboração de um testamento?</w:t>
      </w:r>
    </w:p>
    <w:p w:rsidR="00FF6618" w:rsidRPr="00F50BE5" w:rsidRDefault="00FF6618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Cs w:val="0"/>
          <w:lang w:val="pt-PT"/>
        </w:rPr>
        <w:t>Deverão também ser cumpridos determinados requisitos formais, por exemplo, a exigência de testemunhas para um testamento. Dado que é muito difícil</w:t>
      </w:r>
      <w:r w:rsidR="00F91D0A">
        <w:rPr>
          <w:bCs w:val="0"/>
          <w:lang w:val="pt-PT"/>
        </w:rPr>
        <w:t>,</w:t>
      </w:r>
      <w:r>
        <w:rPr>
          <w:bCs w:val="0"/>
          <w:lang w:val="pt-PT"/>
        </w:rPr>
        <w:t xml:space="preserve"> senão </w:t>
      </w:r>
      <w:r>
        <w:rPr>
          <w:bCs w:val="0"/>
          <w:lang w:val="pt-PT"/>
        </w:rPr>
        <w:lastRenderedPageBreak/>
        <w:t>impossível</w:t>
      </w:r>
      <w:r w:rsidR="00F91D0A">
        <w:rPr>
          <w:bCs w:val="0"/>
          <w:lang w:val="pt-PT"/>
        </w:rPr>
        <w:t>,</w:t>
      </w:r>
      <w:r>
        <w:rPr>
          <w:bCs w:val="0"/>
          <w:lang w:val="pt-PT"/>
        </w:rPr>
        <w:t xml:space="preserve"> corrigir um testamento após a sua morte é fortemente aconselhado que consulte um advogado para redigir o seu testamento.</w:t>
      </w:r>
    </w:p>
    <w:p w:rsidR="004C14E0" w:rsidRPr="00F50BE5" w:rsidRDefault="004C14E0" w:rsidP="00903E4E">
      <w:pPr>
        <w:autoSpaceDE w:val="0"/>
        <w:autoSpaceDN w:val="0"/>
        <w:adjustRightInd w:val="0"/>
        <w:rPr>
          <w:b/>
          <w:bCs w:val="0"/>
          <w:lang w:val="es-ES_tradnl"/>
        </w:rPr>
      </w:pPr>
    </w:p>
    <w:p w:rsidR="00FF6618" w:rsidRPr="00F50BE5" w:rsidRDefault="004C14E0" w:rsidP="00903E4E">
      <w:pPr>
        <w:autoSpaceDE w:val="0"/>
        <w:autoSpaceDN w:val="0"/>
        <w:adjustRightInd w:val="0"/>
        <w:rPr>
          <w:b/>
          <w:bCs w:val="0"/>
          <w:u w:val="single"/>
          <w:lang w:val="es-ES_tradnl"/>
        </w:rPr>
      </w:pPr>
      <w:r>
        <w:rPr>
          <w:b/>
          <w:u w:val="single"/>
          <w:lang w:val="pt-PT"/>
        </w:rPr>
        <w:t>Representantes pessoais</w:t>
      </w:r>
    </w:p>
    <w:p w:rsidR="00E71ED5" w:rsidRPr="00F50BE5" w:rsidRDefault="00E71ED5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Quem é responsável por lidar com um testamento em nome do falecido?</w:t>
      </w:r>
    </w:p>
    <w:p w:rsidR="00E71ED5" w:rsidRPr="00F50BE5" w:rsidRDefault="00FF6618" w:rsidP="00720DA4">
      <w:pPr>
        <w:pStyle w:val="ListBullet3"/>
        <w:numPr>
          <w:ilvl w:val="0"/>
          <w:numId w:val="14"/>
        </w:numPr>
        <w:rPr>
          <w:lang w:val="es-ES_tradnl"/>
        </w:rPr>
      </w:pPr>
      <w:r>
        <w:rPr>
          <w:bCs w:val="0"/>
          <w:lang w:val="pt-PT"/>
        </w:rPr>
        <w:t xml:space="preserve">Os </w:t>
      </w:r>
      <w:r>
        <w:rPr>
          <w:b/>
          <w:lang w:val="pt-PT"/>
        </w:rPr>
        <w:t>Representantes pessoais</w:t>
      </w:r>
      <w:r>
        <w:rPr>
          <w:bCs w:val="0"/>
          <w:lang w:val="pt-PT"/>
        </w:rPr>
        <w:t xml:space="preserve"> tornam o Testamento efetivo ou </w:t>
      </w:r>
      <w:r w:rsidR="00F91D0A">
        <w:rPr>
          <w:bCs w:val="0"/>
          <w:lang w:val="pt-PT"/>
        </w:rPr>
        <w:t xml:space="preserve">dividem </w:t>
      </w:r>
      <w:r>
        <w:rPr>
          <w:bCs w:val="0"/>
          <w:lang w:val="pt-PT"/>
        </w:rPr>
        <w:t>os bens de uma pessoa que morreu sem fazer um Testamento válido.</w:t>
      </w:r>
    </w:p>
    <w:p w:rsidR="00720DA4" w:rsidRPr="00F50BE5" w:rsidRDefault="00FF6618" w:rsidP="00720DA4">
      <w:pPr>
        <w:pStyle w:val="ListBullet3"/>
        <w:numPr>
          <w:ilvl w:val="0"/>
          <w:numId w:val="14"/>
        </w:numPr>
        <w:rPr>
          <w:lang w:val="es-ES_tradnl"/>
        </w:rPr>
      </w:pPr>
      <w:r>
        <w:rPr>
          <w:bCs w:val="0"/>
          <w:lang w:val="pt-PT"/>
        </w:rPr>
        <w:t xml:space="preserve">Os representantes pessoais devem obter uma concessão de representação antes de lidar com os bens. </w:t>
      </w:r>
    </w:p>
    <w:p w:rsidR="00720DA4" w:rsidRPr="001B4038" w:rsidRDefault="00FF6618" w:rsidP="00720DA4">
      <w:pPr>
        <w:pStyle w:val="ListBullet3"/>
        <w:numPr>
          <w:ilvl w:val="0"/>
          <w:numId w:val="14"/>
        </w:numPr>
      </w:pPr>
      <w:r>
        <w:rPr>
          <w:bCs w:val="0"/>
          <w:lang w:val="pt-PT"/>
        </w:rPr>
        <w:t xml:space="preserve">Quando há um testamento, é obtida uma </w:t>
      </w:r>
      <w:r>
        <w:rPr>
          <w:b/>
          <w:lang w:val="pt-PT"/>
        </w:rPr>
        <w:t>Concessão de Sucessão</w:t>
      </w:r>
      <w:r>
        <w:rPr>
          <w:bCs w:val="0"/>
          <w:lang w:val="pt-PT"/>
        </w:rPr>
        <w:t xml:space="preserve">. </w:t>
      </w:r>
    </w:p>
    <w:p w:rsidR="00FF6618" w:rsidRPr="001B4038" w:rsidRDefault="00FF6618" w:rsidP="00720DA4">
      <w:pPr>
        <w:pStyle w:val="ListBullet3"/>
        <w:numPr>
          <w:ilvl w:val="0"/>
          <w:numId w:val="14"/>
        </w:numPr>
      </w:pPr>
      <w:r>
        <w:rPr>
          <w:bCs w:val="0"/>
          <w:lang w:val="pt-PT"/>
        </w:rPr>
        <w:t xml:space="preserve">Quando não há um testamento, é obtida uma </w:t>
      </w:r>
      <w:r>
        <w:rPr>
          <w:b/>
          <w:lang w:val="pt-PT"/>
        </w:rPr>
        <w:t>Concessão de Carta de Administração</w:t>
      </w:r>
      <w:r>
        <w:rPr>
          <w:bCs w:val="0"/>
          <w:lang w:val="pt-PT"/>
        </w:rPr>
        <w:t>.</w:t>
      </w:r>
    </w:p>
    <w:p w:rsidR="00907F5A" w:rsidRPr="00F50BE5" w:rsidRDefault="00907F5A" w:rsidP="00903E4E">
      <w:pPr>
        <w:pStyle w:val="NormalWeb"/>
        <w:rPr>
          <w:color w:val="202020"/>
          <w:lang w:val="es-ES_tradnl"/>
        </w:rPr>
      </w:pPr>
      <w:r>
        <w:rPr>
          <w:bCs w:val="0"/>
          <w:color w:val="202020"/>
          <w:lang w:val="pt-PT"/>
        </w:rPr>
        <w:t xml:space="preserve">O </w:t>
      </w:r>
      <w:r>
        <w:rPr>
          <w:b/>
          <w:color w:val="202020"/>
          <w:lang w:val="pt-PT"/>
        </w:rPr>
        <w:t xml:space="preserve">Representante Pessoal </w:t>
      </w:r>
      <w:r>
        <w:rPr>
          <w:bCs w:val="0"/>
          <w:color w:val="202020"/>
          <w:lang w:val="pt-PT"/>
        </w:rPr>
        <w:t xml:space="preserve">é a pessoa que é responsável por organizar e classificar os assuntos do falecido. </w:t>
      </w:r>
    </w:p>
    <w:p w:rsidR="00907F5A" w:rsidRPr="00F50BE5" w:rsidRDefault="00907F5A" w:rsidP="00903E4E">
      <w:pPr>
        <w:pStyle w:val="NormalWeb"/>
        <w:rPr>
          <w:color w:val="202020"/>
          <w:lang w:val="es-ES_tradnl"/>
        </w:rPr>
      </w:pPr>
      <w:r>
        <w:rPr>
          <w:bCs w:val="0"/>
          <w:color w:val="202020"/>
          <w:lang w:val="pt-PT"/>
        </w:rPr>
        <w:t xml:space="preserve">Se existir um testamento o Representante Pessoal é nomeado sendo designado no testamento como executor. Em caso de morte ab intestato (sem testamento), o Representante Pessoal provavelmente assumirá a responsabilidade simplesmente porque ele ou ela é cônjuge do falecido ou um dos parentes mais próximos. Um Representante Pessoal que não tenha sido nomeado por Testamento é designado de Administrador. </w:t>
      </w:r>
    </w:p>
    <w:p w:rsidR="00E419EF" w:rsidRPr="00F50BE5" w:rsidRDefault="00E419EF" w:rsidP="00903E4E">
      <w:pPr>
        <w:autoSpaceDE w:val="0"/>
        <w:autoSpaceDN w:val="0"/>
        <w:adjustRightInd w:val="0"/>
        <w:rPr>
          <w:color w:val="000000"/>
          <w:lang w:val="es-ES_tradnl"/>
        </w:rPr>
      </w:pPr>
      <w:r>
        <w:rPr>
          <w:bCs w:val="0"/>
          <w:lang w:val="pt-PT"/>
        </w:rPr>
        <w:t xml:space="preserve">Uma </w:t>
      </w:r>
      <w:r>
        <w:rPr>
          <w:b/>
          <w:lang w:val="pt-PT"/>
        </w:rPr>
        <w:t>Concessão de Sucessão</w:t>
      </w:r>
      <w:r>
        <w:rPr>
          <w:bCs w:val="0"/>
          <w:lang w:val="pt-PT"/>
        </w:rPr>
        <w:t xml:space="preserve"> ocorre quando foi feito um Testamento e o Executor testamentário ou o Solicitador que trabalha em nome do Executor requerem ao Gabinete de Sucessão uma Concessão de Sucessão. Isso permitirá que os bens do falecido (ativos) sejam distribuídos de acordo com a sua vontade.</w:t>
      </w:r>
    </w:p>
    <w:p w:rsidR="00C77605" w:rsidRPr="00F50BE5" w:rsidRDefault="00C77605" w:rsidP="00903E4E">
      <w:pPr>
        <w:autoSpaceDE w:val="0"/>
        <w:autoSpaceDN w:val="0"/>
        <w:adjustRightInd w:val="0"/>
        <w:rPr>
          <w:lang w:val="es-ES_tradnl"/>
        </w:rPr>
      </w:pPr>
    </w:p>
    <w:p w:rsidR="004C14E0" w:rsidRPr="00F50BE5" w:rsidRDefault="004C14E0" w:rsidP="00903E4E">
      <w:pPr>
        <w:autoSpaceDE w:val="0"/>
        <w:autoSpaceDN w:val="0"/>
        <w:adjustRightInd w:val="0"/>
        <w:rPr>
          <w:b/>
          <w:bCs w:val="0"/>
          <w:u w:val="single"/>
          <w:lang w:val="es-ES_tradnl"/>
        </w:rPr>
      </w:pPr>
      <w:r>
        <w:rPr>
          <w:b/>
          <w:u w:val="single"/>
          <w:lang w:val="pt-PT"/>
        </w:rPr>
        <w:t>Direitos dos cônjuges/parceiros civis</w:t>
      </w:r>
    </w:p>
    <w:p w:rsidR="003F58D1" w:rsidRPr="00F50BE5" w:rsidRDefault="003F58D1" w:rsidP="00903E4E">
      <w:pPr>
        <w:autoSpaceDE w:val="0"/>
        <w:autoSpaceDN w:val="0"/>
        <w:adjustRightInd w:val="0"/>
        <w:rPr>
          <w:b/>
          <w:bCs w:val="0"/>
          <w:lang w:val="es-ES_tradnl"/>
        </w:rPr>
      </w:pPr>
      <w:r>
        <w:rPr>
          <w:b/>
          <w:lang w:val="pt-PT"/>
        </w:rPr>
        <w:t>Uma pessoa casada ou em união de facto tem direito a alguma parte nos bens do seu cônjuge ou parceiro falecido?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>Geralmente, uma pessoa tem direito legal a uma parte do património do seu falecido cônjuge/parceiro em união de facto.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</w:p>
    <w:p w:rsidR="003F58D1" w:rsidRPr="00F50BE5" w:rsidRDefault="0001558D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O cônjuge ou parceiro em união de facto têm alguns direitos quando há um testamento válido?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Quando uma pessoa morre, tendo feito um testamento válido, o seu cônjuge/parceiro em união de facto tem o direito legal </w:t>
      </w:r>
      <w:r w:rsidR="00472860">
        <w:rPr>
          <w:bCs w:val="0"/>
          <w:lang w:val="pt-PT"/>
        </w:rPr>
        <w:t>a: -</w:t>
      </w:r>
    </w:p>
    <w:p w:rsidR="00FF6618" w:rsidRPr="00F50BE5" w:rsidRDefault="00FF6618" w:rsidP="002A11E7">
      <w:pPr>
        <w:pStyle w:val="ListBullet3"/>
        <w:numPr>
          <w:ilvl w:val="0"/>
          <w:numId w:val="14"/>
        </w:numPr>
        <w:rPr>
          <w:lang w:val="es-ES_tradnl"/>
        </w:rPr>
      </w:pPr>
      <w:r>
        <w:rPr>
          <w:bCs w:val="0"/>
          <w:lang w:val="pt-PT"/>
        </w:rPr>
        <w:t xml:space="preserve"> metade do património, se não há filhos; ou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rPr>
          <w:bCs w:val="0"/>
          <w:lang w:val="pt-PT"/>
        </w:rPr>
        <w:t xml:space="preserve"> um terço do património, se há filhos.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9565C2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Um cônjuge ou parceiro em união de facto pode optar por tomar o que tem direito por lei ou a parte dada no testamento. </w:t>
      </w:r>
    </w:p>
    <w:p w:rsidR="009565C2" w:rsidRPr="00F50BE5" w:rsidRDefault="0027121E" w:rsidP="002A11E7">
      <w:pPr>
        <w:pStyle w:val="ListBullet3"/>
        <w:numPr>
          <w:ilvl w:val="0"/>
          <w:numId w:val="14"/>
        </w:numPr>
        <w:rPr>
          <w:lang w:val="it-IT"/>
        </w:rPr>
      </w:pPr>
      <w:r>
        <w:rPr>
          <w:bCs w:val="0"/>
          <w:lang w:val="pt-PT"/>
        </w:rPr>
        <w:t>o representante pessoal deve notificar o cônjuge deste direito; e</w:t>
      </w:r>
    </w:p>
    <w:p w:rsidR="0001558D" w:rsidRPr="00F50BE5" w:rsidRDefault="00472860" w:rsidP="00497060">
      <w:pPr>
        <w:pStyle w:val="ListBullet3"/>
        <w:numPr>
          <w:ilvl w:val="0"/>
          <w:numId w:val="14"/>
        </w:numPr>
        <w:rPr>
          <w:lang w:val="es-ES_tradnl"/>
        </w:rPr>
      </w:pPr>
      <w:r>
        <w:rPr>
          <w:bCs w:val="0"/>
          <w:lang w:val="pt-PT"/>
        </w:rPr>
        <w:lastRenderedPageBreak/>
        <w:t xml:space="preserve">esta </w:t>
      </w:r>
      <w:r w:rsidR="0027121E">
        <w:rPr>
          <w:bCs w:val="0"/>
          <w:lang w:val="pt-PT"/>
        </w:rPr>
        <w:t xml:space="preserve">escolha deve ser feita no prazo de seis meses após os representantes pessoais terem notificado o cônjuge ou parceiro em união de facto desse direito; ou 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rPr>
          <w:bCs w:val="0"/>
          <w:lang w:val="pt-PT"/>
        </w:rPr>
        <w:t>após um ano da concessão da sucessão, conforme o que seja posterior.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FF6618" w:rsidRPr="00F50BE5" w:rsidRDefault="00AD2331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 xml:space="preserve">O cônjuge ou parceiro em união de facto </w:t>
      </w:r>
      <w:r w:rsidR="00494D92">
        <w:rPr>
          <w:b/>
          <w:lang w:val="pt-PT"/>
        </w:rPr>
        <w:t xml:space="preserve">têm </w:t>
      </w:r>
      <w:r>
        <w:rPr>
          <w:b/>
          <w:lang w:val="pt-PT"/>
        </w:rPr>
        <w:t xml:space="preserve">alguns direitos quando NÃO há um testamento válido? 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>Quando uma pessoa morre sem ter feito um testamento válido, o seu</w:t>
      </w:r>
      <w:r w:rsidR="00494D92">
        <w:rPr>
          <w:bCs w:val="0"/>
          <w:lang w:val="pt-PT"/>
        </w:rPr>
        <w:t xml:space="preserve"> </w:t>
      </w:r>
      <w:r>
        <w:rPr>
          <w:bCs w:val="0"/>
          <w:lang w:val="pt-PT"/>
        </w:rPr>
        <w:t xml:space="preserve">cônjuge/parceiro em união de facto tem o direito legal </w:t>
      </w:r>
      <w:r w:rsidR="00494D92">
        <w:rPr>
          <w:bCs w:val="0"/>
          <w:lang w:val="pt-PT"/>
        </w:rPr>
        <w:t>a: -</w:t>
      </w:r>
    </w:p>
    <w:p w:rsidR="00FF6618" w:rsidRPr="00F50BE5" w:rsidRDefault="00FF6618" w:rsidP="002A11E7">
      <w:pPr>
        <w:pStyle w:val="ListBullet3"/>
        <w:numPr>
          <w:ilvl w:val="0"/>
          <w:numId w:val="14"/>
        </w:numPr>
        <w:rPr>
          <w:lang w:val="es-ES_tradnl"/>
        </w:rPr>
      </w:pPr>
      <w:r>
        <w:rPr>
          <w:bCs w:val="0"/>
          <w:lang w:val="pt-PT"/>
        </w:rPr>
        <w:t>todo o seu património, se não há filhos; ou</w:t>
      </w:r>
    </w:p>
    <w:p w:rsidR="00FF6618" w:rsidRPr="00F50BE5" w:rsidRDefault="00FF6618" w:rsidP="002A11E7">
      <w:pPr>
        <w:pStyle w:val="ListBullet3"/>
        <w:numPr>
          <w:ilvl w:val="0"/>
          <w:numId w:val="14"/>
        </w:numPr>
        <w:rPr>
          <w:lang w:val="es-ES_tradnl"/>
        </w:rPr>
      </w:pPr>
      <w:r>
        <w:rPr>
          <w:bCs w:val="0"/>
          <w:lang w:val="pt-PT"/>
        </w:rPr>
        <w:t>dois terços do património, se há filhos.</w:t>
      </w:r>
    </w:p>
    <w:p w:rsidR="004C14E0" w:rsidRPr="00F50BE5" w:rsidRDefault="004C14E0" w:rsidP="00903E4E">
      <w:pPr>
        <w:pStyle w:val="ListBullet3"/>
        <w:numPr>
          <w:ilvl w:val="0"/>
          <w:numId w:val="0"/>
        </w:numPr>
        <w:ind w:left="566"/>
        <w:rPr>
          <w:lang w:val="es-ES_tradnl"/>
        </w:rPr>
      </w:pPr>
    </w:p>
    <w:p w:rsidR="004C14E0" w:rsidRPr="00F50BE5" w:rsidRDefault="004C14E0" w:rsidP="00903E4E">
      <w:pPr>
        <w:autoSpaceDE w:val="0"/>
        <w:autoSpaceDN w:val="0"/>
        <w:adjustRightInd w:val="0"/>
        <w:rPr>
          <w:b/>
          <w:bCs w:val="0"/>
          <w:u w:val="single"/>
          <w:lang w:val="es-ES_tradnl"/>
        </w:rPr>
      </w:pPr>
      <w:r>
        <w:rPr>
          <w:b/>
          <w:u w:val="single"/>
          <w:lang w:val="pt-PT"/>
        </w:rPr>
        <w:t>Direitos das crianças</w:t>
      </w:r>
    </w:p>
    <w:p w:rsidR="00A03728" w:rsidRPr="00F50BE5" w:rsidRDefault="00A03728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As crianças têm algum direito a uma parte nos bens no testamento dos seus pais?</w:t>
      </w:r>
    </w:p>
    <w:p w:rsidR="003E5CE9" w:rsidRPr="00F50BE5" w:rsidRDefault="00FF6618" w:rsidP="003E5CE9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 xml:space="preserve">Geralmente, uma criança não tem direito automático a uma parte dos bens do seu progenitor quando este morreu tendo deixado um testamento válido. </w:t>
      </w:r>
    </w:p>
    <w:p w:rsidR="00FF6618" w:rsidRPr="00F50BE5" w:rsidRDefault="00FF6618" w:rsidP="003E5CE9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>No entanto, um Tribunal pode conceder a uma criança uma parte da sua quota nos bens dos pais, se concluir que o progenitor "</w:t>
      </w:r>
      <w:r>
        <w:rPr>
          <w:bCs w:val="0"/>
          <w:i/>
          <w:iCs/>
          <w:lang w:val="pt-PT"/>
        </w:rPr>
        <w:t>falhou no seu dever moral de fazer uma provisão adequada para a criança de acordo com os seus meios</w:t>
      </w:r>
      <w:r>
        <w:rPr>
          <w:bCs w:val="0"/>
          <w:lang w:val="pt-PT"/>
        </w:rPr>
        <w:t xml:space="preserve">".  Esse pedido deve ser submetido ao Supremo Tribunal no prazo de </w:t>
      </w:r>
      <w:r>
        <w:rPr>
          <w:b/>
          <w:lang w:val="pt-PT"/>
        </w:rPr>
        <w:t>seis meses</w:t>
      </w:r>
      <w:r>
        <w:rPr>
          <w:bCs w:val="0"/>
          <w:lang w:val="pt-PT"/>
        </w:rPr>
        <w:t xml:space="preserve"> a contar da data da Concessão de Sucessão.</w:t>
      </w:r>
    </w:p>
    <w:p w:rsidR="00FF6618" w:rsidRPr="00F50BE5" w:rsidRDefault="00F12B0A" w:rsidP="003E5CE9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>Um filho que traz esse requerimento não tem de ter menos de dezoito anos de idade, nem tem de ter sido financeiramente dependente do progenitor.</w:t>
      </w:r>
    </w:p>
    <w:p w:rsidR="00A03728" w:rsidRPr="00F50BE5" w:rsidRDefault="00A03728" w:rsidP="00903E4E">
      <w:pPr>
        <w:autoSpaceDE w:val="0"/>
        <w:autoSpaceDN w:val="0"/>
        <w:adjustRightInd w:val="0"/>
        <w:rPr>
          <w:lang w:val="es-ES_tradnl"/>
        </w:rPr>
      </w:pPr>
    </w:p>
    <w:p w:rsidR="00A03728" w:rsidRPr="00F50BE5" w:rsidRDefault="00A03728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Os filhos adotados e filhos de pais não casados têm algum direito a uma parte nos bens dos seus pais falecidos?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As crianças adotadas e as crianças cujos pais não estão casados têm os </w:t>
      </w:r>
      <w:r>
        <w:rPr>
          <w:b/>
          <w:lang w:val="pt-PT"/>
        </w:rPr>
        <w:t xml:space="preserve">mesmos direitos </w:t>
      </w:r>
      <w:r>
        <w:rPr>
          <w:bCs w:val="0"/>
          <w:lang w:val="pt-PT"/>
        </w:rPr>
        <w:t>que os filhos provenientes de um casamento.</w:t>
      </w:r>
    </w:p>
    <w:p w:rsidR="004C14E0" w:rsidRPr="00F50BE5" w:rsidRDefault="004C14E0" w:rsidP="00903E4E">
      <w:pPr>
        <w:autoSpaceDE w:val="0"/>
        <w:autoSpaceDN w:val="0"/>
        <w:adjustRightInd w:val="0"/>
        <w:rPr>
          <w:b/>
          <w:bCs w:val="0"/>
          <w:u w:val="single"/>
          <w:lang w:val="es-ES_tradnl"/>
        </w:rPr>
      </w:pPr>
      <w:r>
        <w:rPr>
          <w:b/>
          <w:u w:val="single"/>
          <w:lang w:val="pt-PT"/>
        </w:rPr>
        <w:t>Casa de família e herança</w:t>
      </w:r>
    </w:p>
    <w:p w:rsidR="00716B5A" w:rsidRPr="00F50BE5" w:rsidRDefault="00716B5A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Quem herdará a casa da família?</w:t>
      </w:r>
    </w:p>
    <w:p w:rsidR="006D7939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Quando a casa de família é propriedade dos cônjuges ou parceiros como inquilinos conjuntos, o cônjuge ou parceiro sobrevivo torna-se automaticamente o único proprietário da propriedade. Caso contrário, o cônjuge ou parceiro sobrevivo </w:t>
      </w:r>
      <w:r w:rsidR="00494D92">
        <w:rPr>
          <w:bCs w:val="0"/>
          <w:lang w:val="pt-PT"/>
        </w:rPr>
        <w:t>poderá</w:t>
      </w:r>
      <w:r>
        <w:rPr>
          <w:bCs w:val="0"/>
          <w:lang w:val="pt-PT"/>
        </w:rPr>
        <w:t xml:space="preserve"> exigir que a casa de família seja transferida para si como parte de direito legal.</w:t>
      </w:r>
    </w:p>
    <w:p w:rsidR="003E5CE9" w:rsidRPr="00F50BE5" w:rsidRDefault="003E5CE9" w:rsidP="00903E4E">
      <w:pPr>
        <w:autoSpaceDE w:val="0"/>
        <w:autoSpaceDN w:val="0"/>
        <w:adjustRightInd w:val="0"/>
        <w:rPr>
          <w:lang w:val="es-ES_tradnl"/>
        </w:rPr>
      </w:pPr>
    </w:p>
    <w:p w:rsidR="006D7939" w:rsidRPr="00F50BE5" w:rsidRDefault="006D7939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>Por favor, consulte a nota acima sobre os direitos legais dos cônjuges ou parceiros.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</w:p>
    <w:p w:rsidR="00FF6618" w:rsidRPr="00F50BE5" w:rsidRDefault="00FF6618" w:rsidP="00903E4E">
      <w:pPr>
        <w:autoSpaceDE w:val="0"/>
        <w:autoSpaceDN w:val="0"/>
        <w:adjustRightInd w:val="0"/>
        <w:rPr>
          <w:b/>
          <w:bCs w:val="0"/>
          <w:lang w:val="es-ES_tradnl"/>
        </w:rPr>
      </w:pPr>
      <w:r>
        <w:rPr>
          <w:b/>
          <w:lang w:val="pt-PT"/>
        </w:rPr>
        <w:t>Fatores que afetam os direitos de herança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Cs w:val="0"/>
          <w:lang w:val="pt-PT"/>
        </w:rPr>
        <w:t xml:space="preserve">Há uma série de fatores que afetam os direitos de </w:t>
      </w:r>
      <w:r w:rsidR="00031140">
        <w:rPr>
          <w:bCs w:val="0"/>
          <w:lang w:val="pt-PT"/>
        </w:rPr>
        <w:t>herança: -</w:t>
      </w:r>
    </w:p>
    <w:p w:rsidR="00FF6618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/>
          <w:lang w:val="pt-PT"/>
        </w:rPr>
        <w:lastRenderedPageBreak/>
        <w:t>casamento</w:t>
      </w:r>
      <w:r>
        <w:rPr>
          <w:bCs w:val="0"/>
          <w:lang w:val="pt-PT"/>
        </w:rPr>
        <w:t xml:space="preserve"> - o casamento revoga um testamento, a menos que tenha sido feito com o casamento em mente.</w:t>
      </w:r>
    </w:p>
    <w:p w:rsidR="006C786E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 w:rsidRPr="00F50BE5">
        <w:rPr>
          <w:b/>
          <w:bCs w:val="0"/>
          <w:lang w:val="pt-PT"/>
        </w:rPr>
        <w:t>acordo de separação</w:t>
      </w:r>
      <w:r>
        <w:rPr>
          <w:bCs w:val="0"/>
          <w:lang w:val="pt-PT"/>
        </w:rPr>
        <w:t xml:space="preserve"> - os cônjuges podem acordar pôr fim ao seu direito legal de uma parte no património um do outro;</w:t>
      </w:r>
    </w:p>
    <w:p w:rsidR="00575849" w:rsidRPr="001B4038" w:rsidRDefault="00FF6618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lang w:val="pt-PT"/>
        </w:rPr>
        <w:t xml:space="preserve">separação judicial-: </w:t>
      </w:r>
    </w:p>
    <w:p w:rsidR="00C325DF" w:rsidRPr="00F50BE5" w:rsidRDefault="00B91A55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 xml:space="preserve">ao fazer um pedido de separação judicial, o tribunal pode proferir uma ordem que extingue o direito legal dos cônjuges herdarem bens um do outro. </w:t>
      </w:r>
    </w:p>
    <w:p w:rsidR="0046604E" w:rsidRPr="00F50BE5" w:rsidRDefault="00FF6618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>Deverá ser comprovado ao tribunal que foi feita uma provisão adequada para um cônjuge antes de ser emitida este tipo de ordem que extingue os seus direitos.</w:t>
      </w:r>
    </w:p>
    <w:p w:rsidR="00FF6618" w:rsidRPr="00F50BE5" w:rsidRDefault="00FF6618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>No entanto, a menos que o Tribunal sentencie em contrário, ainda há certas circunstâncias em que um cônjuge pode requerer ao tribunal uma parte dos bens do outro cônjuge</w:t>
      </w:r>
      <w:r w:rsidR="00B50160">
        <w:rPr>
          <w:bCs w:val="0"/>
          <w:lang w:val="pt-PT"/>
        </w:rPr>
        <w:t xml:space="preserve">. </w:t>
      </w:r>
      <w:r>
        <w:rPr>
          <w:bCs w:val="0"/>
          <w:lang w:val="pt-PT"/>
        </w:rPr>
        <w:t>Esse pedido deve ser submetido no prazo de seis meses a contar da data da Concessão de Sucessão ou Carta de Administração desses bens;</w:t>
      </w:r>
    </w:p>
    <w:p w:rsidR="00903E4E" w:rsidRPr="00F50BE5" w:rsidRDefault="00903E4E" w:rsidP="00903E4E">
      <w:pPr>
        <w:pStyle w:val="ListBullet3"/>
        <w:numPr>
          <w:ilvl w:val="0"/>
          <w:numId w:val="0"/>
        </w:numPr>
        <w:ind w:left="709"/>
        <w:rPr>
          <w:lang w:val="es-ES_tradnl"/>
        </w:rPr>
      </w:pPr>
    </w:p>
    <w:p w:rsidR="00BE539C" w:rsidRPr="00F50BE5" w:rsidRDefault="0086084B" w:rsidP="00903E4E">
      <w:pPr>
        <w:pStyle w:val="ListBullet3"/>
        <w:numPr>
          <w:ilvl w:val="0"/>
          <w:numId w:val="0"/>
        </w:numPr>
        <w:rPr>
          <w:lang w:val="es-ES_tradnl"/>
        </w:rPr>
      </w:pPr>
      <w:r w:rsidRPr="00F50BE5">
        <w:rPr>
          <w:b/>
          <w:bCs w:val="0"/>
          <w:lang w:val="pt-PT"/>
        </w:rPr>
        <w:t>divórcio</w:t>
      </w:r>
      <w:r>
        <w:rPr>
          <w:bCs w:val="0"/>
          <w:lang w:val="pt-PT"/>
        </w:rPr>
        <w:t xml:space="preserve"> - uma pessoa divorciada não é um cônjuge e não tem direito legal a parte da herança sobre os bens do seu ex-cônjuge. No entanto, a menos que o Tribunal sentencie em contrário, ainda há certas circunstâncias em que uma pessoa pode requerer ao tribunal uma parte dos bens do seu ex-cônjuge; Esse pedido deve ser submetido no prazo de seis meses a contar da data da Concessão de Sucessão ou Carta de Administração desses bens; Uma pessoa que se volta a casar após o divórcio não pode fazer tal requerimento; e</w:t>
      </w:r>
    </w:p>
    <w:p w:rsidR="001D7DED" w:rsidRPr="00F50BE5" w:rsidRDefault="00FF6618" w:rsidP="00903E4E">
      <w:pPr>
        <w:autoSpaceDE w:val="0"/>
        <w:autoSpaceDN w:val="0"/>
        <w:adjustRightInd w:val="0"/>
        <w:rPr>
          <w:lang w:val="es-ES_tradnl"/>
        </w:rPr>
      </w:pPr>
      <w:r>
        <w:rPr>
          <w:b/>
          <w:lang w:val="pt-PT"/>
        </w:rPr>
        <w:t>deserção</w:t>
      </w:r>
      <w:r>
        <w:rPr>
          <w:bCs w:val="0"/>
          <w:lang w:val="pt-PT"/>
        </w:rPr>
        <w:t xml:space="preserve"> - uma pessoa que esteve em abandono do cônjuge por dois anos ou mais imediatamente antes da morte do seu cônjuge, pode não ter direito a uma parte legal no património do cônjuge falecido.</w:t>
      </w:r>
    </w:p>
    <w:p w:rsidR="001D7DED" w:rsidRPr="00F50BE5" w:rsidRDefault="001D7DED" w:rsidP="00903E4E">
      <w:pPr>
        <w:autoSpaceDE w:val="0"/>
        <w:autoSpaceDN w:val="0"/>
        <w:adjustRightInd w:val="0"/>
        <w:rPr>
          <w:lang w:val="es-ES_tradnl"/>
        </w:rPr>
      </w:pPr>
      <w:r>
        <w:rPr>
          <w:b/>
          <w:lang w:val="pt-PT"/>
        </w:rPr>
        <w:t xml:space="preserve">Ofensas Penais </w:t>
      </w:r>
      <w:r>
        <w:rPr>
          <w:bCs w:val="0"/>
          <w:lang w:val="pt-PT"/>
        </w:rPr>
        <w:t xml:space="preserve">– uma pessoa que tenha cometido delitos graves contra o falecido é impedida de tomar a sua parte por direito legal ou requerer ao tribunal uma prestação adequada a ser retirada do património. </w:t>
      </w:r>
    </w:p>
    <w:p w:rsidR="00EF198E" w:rsidRPr="00F50BE5" w:rsidRDefault="00EF198E" w:rsidP="00903E4E">
      <w:pPr>
        <w:autoSpaceDE w:val="0"/>
        <w:autoSpaceDN w:val="0"/>
        <w:adjustRightInd w:val="0"/>
        <w:rPr>
          <w:b/>
          <w:lang w:val="es-ES_tradnl"/>
        </w:rPr>
      </w:pPr>
    </w:p>
    <w:p w:rsidR="006D633A" w:rsidRPr="00F50BE5" w:rsidRDefault="006D633A" w:rsidP="00903E4E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lang w:val="pt-PT"/>
        </w:rPr>
        <w:t>Dissolução de união de facto</w:t>
      </w:r>
      <w:r>
        <w:rPr>
          <w:bCs w:val="0"/>
          <w:lang w:val="pt-PT"/>
        </w:rPr>
        <w:t xml:space="preserve"> - uma pessoa cuja união de facto foi dissolvida não é um parceiro civil e não tem direito legal a parte da herança sobre os bens do seu ex-parceiro.</w:t>
      </w:r>
    </w:p>
    <w:p w:rsidR="004C14E0" w:rsidRPr="00F50BE5" w:rsidRDefault="004C14E0" w:rsidP="00903E4E">
      <w:pPr>
        <w:pStyle w:val="ListBullet3"/>
        <w:numPr>
          <w:ilvl w:val="0"/>
          <w:numId w:val="0"/>
        </w:numPr>
        <w:ind w:left="566"/>
        <w:rPr>
          <w:lang w:val="es-ES_tradnl"/>
        </w:rPr>
      </w:pPr>
    </w:p>
    <w:p w:rsidR="004C14E0" w:rsidRPr="00F50BE5" w:rsidRDefault="004C14E0" w:rsidP="00903E4E">
      <w:pPr>
        <w:autoSpaceDE w:val="0"/>
        <w:autoSpaceDN w:val="0"/>
        <w:adjustRightInd w:val="0"/>
        <w:rPr>
          <w:b/>
          <w:bCs w:val="0"/>
          <w:u w:val="single"/>
          <w:lang w:val="es-ES_tradnl"/>
        </w:rPr>
      </w:pPr>
      <w:r>
        <w:rPr>
          <w:b/>
          <w:u w:val="single"/>
          <w:lang w:val="pt-PT"/>
        </w:rPr>
        <w:t>Pagamento do imposto sucessório</w:t>
      </w:r>
    </w:p>
    <w:p w:rsidR="003E5CE9" w:rsidRPr="00F50BE5" w:rsidRDefault="00AE7810" w:rsidP="003E5CE9">
      <w:pPr>
        <w:autoSpaceDE w:val="0"/>
        <w:autoSpaceDN w:val="0"/>
        <w:adjustRightInd w:val="0"/>
        <w:rPr>
          <w:lang w:val="es-ES_tradnl"/>
        </w:rPr>
      </w:pPr>
      <w:r>
        <w:rPr>
          <w:b/>
          <w:lang w:val="pt-PT"/>
        </w:rPr>
        <w:t xml:space="preserve">Se for beneficiário de um testamento tenho de pagar algum imposto? </w:t>
      </w:r>
    </w:p>
    <w:p w:rsidR="003E5CE9" w:rsidRPr="00F50BE5" w:rsidRDefault="00FF6618" w:rsidP="003E5CE9">
      <w:pPr>
        <w:pStyle w:val="ListBullet3"/>
        <w:numPr>
          <w:ilvl w:val="0"/>
          <w:numId w:val="0"/>
        </w:numPr>
        <w:rPr>
          <w:lang w:val="es-ES_tradnl"/>
        </w:rPr>
      </w:pPr>
      <w:r>
        <w:rPr>
          <w:bCs w:val="0"/>
          <w:lang w:val="pt-PT"/>
        </w:rPr>
        <w:t>Uma pessoa que beneficia de património de uma pessoa falecida pode ser obrigada a pagar</w:t>
      </w:r>
      <w:r>
        <w:rPr>
          <w:b/>
          <w:lang w:val="pt-PT"/>
        </w:rPr>
        <w:t xml:space="preserve"> Imposto de Aquisições de Capital (CAT)</w:t>
      </w:r>
      <w:r>
        <w:rPr>
          <w:bCs w:val="0"/>
          <w:lang w:val="pt-PT"/>
        </w:rPr>
        <w:t>.</w:t>
      </w:r>
      <w:r>
        <w:rPr>
          <w:b/>
          <w:lang w:val="pt-PT"/>
        </w:rPr>
        <w:t xml:space="preserve"> </w:t>
      </w:r>
    </w:p>
    <w:p w:rsidR="003E5CE9" w:rsidRPr="00F50BE5" w:rsidRDefault="00FF6618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 xml:space="preserve">O montante do imposto a pagar vai depender da relação entre o falecido e o beneficiário e o valor da herança.  </w:t>
      </w:r>
    </w:p>
    <w:p w:rsidR="003E5CE9" w:rsidRPr="00F50BE5" w:rsidRDefault="00FF6618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>Existem algumas isenções à obrigação de pagar o imposto, por exemplo, atualmente nenhum imposto é pago sobre heranças entre cônjuges ou ex-cônjuges.</w:t>
      </w:r>
    </w:p>
    <w:p w:rsidR="00FF6618" w:rsidRPr="00F50BE5" w:rsidRDefault="003E5CE9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t>Qualquer imposto a pagar deve ser pago dentro de um período específico.</w:t>
      </w:r>
    </w:p>
    <w:p w:rsidR="003E5CE9" w:rsidRPr="00F50BE5" w:rsidRDefault="00FF6618" w:rsidP="002A11E7">
      <w:pPr>
        <w:pStyle w:val="ListBullet3"/>
        <w:numPr>
          <w:ilvl w:val="0"/>
          <w:numId w:val="15"/>
        </w:numPr>
        <w:rPr>
          <w:lang w:val="es-ES_tradnl"/>
        </w:rPr>
      </w:pPr>
      <w:r>
        <w:rPr>
          <w:bCs w:val="0"/>
          <w:lang w:val="pt-PT"/>
        </w:rPr>
        <w:lastRenderedPageBreak/>
        <w:t>Um cônjuge sobrevivo pode beneficiar de uma série de isenções fiscais e deduções.</w:t>
      </w:r>
    </w:p>
    <w:p w:rsidR="002A11E7" w:rsidRPr="00F50BE5" w:rsidRDefault="00FF6618" w:rsidP="002A11E7">
      <w:pPr>
        <w:pStyle w:val="ListBullet3"/>
        <w:numPr>
          <w:ilvl w:val="2"/>
          <w:numId w:val="2"/>
        </w:numPr>
        <w:rPr>
          <w:lang w:val="es-ES_tradnl"/>
        </w:rPr>
      </w:pPr>
      <w:r>
        <w:rPr>
          <w:bCs w:val="0"/>
          <w:lang w:val="pt-PT"/>
        </w:rPr>
        <w:t>As categorias de isenção e deduções e os montantes mudam de vez em quando.</w:t>
      </w:r>
    </w:p>
    <w:p w:rsidR="00BE539C" w:rsidRPr="00F50BE5" w:rsidRDefault="00FF6618" w:rsidP="002A11E7">
      <w:pPr>
        <w:pStyle w:val="ListBullet3"/>
        <w:numPr>
          <w:ilvl w:val="2"/>
          <w:numId w:val="2"/>
        </w:numPr>
        <w:rPr>
          <w:lang w:val="es-ES_tradnl"/>
        </w:rPr>
      </w:pPr>
      <w:r>
        <w:rPr>
          <w:bCs w:val="0"/>
          <w:lang w:val="pt-PT"/>
        </w:rPr>
        <w:t>Pode obter detalhes completos consultando os Comissários de Rendimentos (Revenue Commissioners).</w:t>
      </w:r>
    </w:p>
    <w:p w:rsidR="0086084B" w:rsidRPr="00F50BE5" w:rsidRDefault="0086084B" w:rsidP="00903E4E">
      <w:pPr>
        <w:autoSpaceDE w:val="0"/>
        <w:autoSpaceDN w:val="0"/>
        <w:adjustRightInd w:val="0"/>
        <w:rPr>
          <w:b/>
          <w:bCs w:val="0"/>
          <w:lang w:val="es-ES_tradnl"/>
        </w:rPr>
      </w:pPr>
    </w:p>
    <w:p w:rsidR="00045743" w:rsidRPr="0024680A" w:rsidRDefault="00045743" w:rsidP="00903E4E">
      <w:r>
        <w:rPr>
          <w:bCs w:val="0"/>
          <w:lang w:val="pt-PT"/>
        </w:rPr>
        <w:t>Sede: Legal Aid Board, Quay Street, Cahirciveen, Co. Kerry, V23 RD36.</w:t>
      </w:r>
    </w:p>
    <w:p w:rsidR="00045743" w:rsidRPr="0024680A" w:rsidRDefault="00045743" w:rsidP="00903E4E">
      <w:r>
        <w:rPr>
          <w:bCs w:val="0"/>
          <w:lang w:val="pt-PT"/>
        </w:rPr>
        <w:t xml:space="preserve">Tel:  (066) 947 1000    </w:t>
      </w:r>
    </w:p>
    <w:p w:rsidR="00045743" w:rsidRPr="001B4038" w:rsidRDefault="00045743" w:rsidP="00903E4E">
      <w:r>
        <w:rPr>
          <w:bCs w:val="0"/>
          <w:lang w:val="pt-PT"/>
        </w:rPr>
        <w:t>Fax: (066) 947 1035</w:t>
      </w:r>
    </w:p>
    <w:p w:rsidR="00045743" w:rsidRPr="0024680A" w:rsidRDefault="00045743" w:rsidP="00903E4E">
      <w:r>
        <w:rPr>
          <w:bCs w:val="0"/>
          <w:lang w:val="pt-PT"/>
        </w:rPr>
        <w:t>Nº. Local: 1890 615 2000</w:t>
      </w:r>
    </w:p>
    <w:p w:rsidR="00045743" w:rsidRPr="001B4038" w:rsidRDefault="00045743" w:rsidP="00903E4E">
      <w:r>
        <w:rPr>
          <w:bCs w:val="0"/>
          <w:lang w:val="pt-PT"/>
        </w:rPr>
        <w:t xml:space="preserve">Website: </w:t>
      </w:r>
      <w:hyperlink r:id="rId8" w:history="1">
        <w:r>
          <w:rPr>
            <w:rStyle w:val="Hyperlink"/>
            <w:bCs w:val="0"/>
            <w:lang w:val="pt-PT"/>
          </w:rPr>
          <w:t>www.legalaidboard.ie</w:t>
        </w:r>
      </w:hyperlink>
    </w:p>
    <w:p w:rsidR="00045743" w:rsidRPr="0024680A" w:rsidRDefault="00045743" w:rsidP="00903E4E"/>
    <w:p w:rsidR="002B07C5" w:rsidRPr="0024680A" w:rsidRDefault="002B07C5" w:rsidP="00903E4E"/>
    <w:sectPr w:rsidR="002B07C5" w:rsidRPr="0024680A" w:rsidSect="00FF6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37" w:rsidRDefault="00D84E37">
      <w:r>
        <w:separator/>
      </w:r>
    </w:p>
  </w:endnote>
  <w:endnote w:type="continuationSeparator" w:id="0">
    <w:p w:rsidR="00D84E37" w:rsidRDefault="00D8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37" w:rsidRDefault="00D84E37">
      <w:r>
        <w:separator/>
      </w:r>
    </w:p>
  </w:footnote>
  <w:footnote w:type="continuationSeparator" w:id="0">
    <w:p w:rsidR="00D84E37" w:rsidRDefault="00D8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202E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822981"/>
    <w:multiLevelType w:val="hybridMultilevel"/>
    <w:tmpl w:val="E7D209B0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711CF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51D7A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54274"/>
    <w:multiLevelType w:val="hybridMultilevel"/>
    <w:tmpl w:val="BA1A0B36"/>
    <w:lvl w:ilvl="0" w:tplc="8772BC98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310B2E98"/>
    <w:multiLevelType w:val="hybridMultilevel"/>
    <w:tmpl w:val="64E40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82FBA"/>
    <w:multiLevelType w:val="hybridMultilevel"/>
    <w:tmpl w:val="6256E794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1230"/>
        </w:tabs>
        <w:ind w:left="818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7">
    <w:nsid w:val="46EB6905"/>
    <w:multiLevelType w:val="hybridMultilevel"/>
    <w:tmpl w:val="F06CDF2E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75A42"/>
    <w:multiLevelType w:val="hybridMultilevel"/>
    <w:tmpl w:val="A5761830"/>
    <w:lvl w:ilvl="0" w:tplc="1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5DF71888"/>
    <w:multiLevelType w:val="hybridMultilevel"/>
    <w:tmpl w:val="DA048A50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65A71"/>
    <w:multiLevelType w:val="hybridMultilevel"/>
    <w:tmpl w:val="BF048A9A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F2908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26729"/>
    <w:multiLevelType w:val="hybridMultilevel"/>
    <w:tmpl w:val="A4A6DC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A90175"/>
    <w:multiLevelType w:val="hybridMultilevel"/>
    <w:tmpl w:val="28C68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E5FF3"/>
    <w:multiLevelType w:val="hybridMultilevel"/>
    <w:tmpl w:val="699CF68E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870"/>
        </w:tabs>
        <w:ind w:left="458" w:hanging="304"/>
      </w:pPr>
      <w:rPr>
        <w:rFonts w:ascii="Symbol" w:hAnsi="Symbol" w:hint="default"/>
      </w:rPr>
    </w:lvl>
    <w:lvl w:ilvl="2" w:tplc="DDD259C6">
      <w:start w:val="1"/>
      <w:numFmt w:val="bullet"/>
      <w:lvlText w:val="-"/>
      <w:lvlJc w:val="left"/>
      <w:pPr>
        <w:tabs>
          <w:tab w:val="num" w:pos="1234"/>
        </w:tabs>
        <w:ind w:left="1234" w:hanging="360"/>
      </w:pPr>
      <w:rPr>
        <w:rFonts w:ascii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18"/>
    <w:rsid w:val="0001558D"/>
    <w:rsid w:val="00015D06"/>
    <w:rsid w:val="000179A6"/>
    <w:rsid w:val="00030457"/>
    <w:rsid w:val="00031140"/>
    <w:rsid w:val="00045743"/>
    <w:rsid w:val="00055BFD"/>
    <w:rsid w:val="00076AF5"/>
    <w:rsid w:val="00087997"/>
    <w:rsid w:val="00087C32"/>
    <w:rsid w:val="00095E9D"/>
    <w:rsid w:val="000A4192"/>
    <w:rsid w:val="000C6037"/>
    <w:rsid w:val="000E455F"/>
    <w:rsid w:val="000F6C28"/>
    <w:rsid w:val="00120183"/>
    <w:rsid w:val="00150BF5"/>
    <w:rsid w:val="001B4038"/>
    <w:rsid w:val="001B548E"/>
    <w:rsid w:val="001C28C6"/>
    <w:rsid w:val="001D7DED"/>
    <w:rsid w:val="00203394"/>
    <w:rsid w:val="00245AB4"/>
    <w:rsid w:val="0024680A"/>
    <w:rsid w:val="0027121E"/>
    <w:rsid w:val="0027755D"/>
    <w:rsid w:val="00287601"/>
    <w:rsid w:val="00293057"/>
    <w:rsid w:val="002A11E7"/>
    <w:rsid w:val="002A78E7"/>
    <w:rsid w:val="002B0329"/>
    <w:rsid w:val="002B07C5"/>
    <w:rsid w:val="002C3F44"/>
    <w:rsid w:val="002D0C94"/>
    <w:rsid w:val="002D338F"/>
    <w:rsid w:val="002D50A9"/>
    <w:rsid w:val="00301E86"/>
    <w:rsid w:val="00314DEA"/>
    <w:rsid w:val="00343D66"/>
    <w:rsid w:val="00353A9E"/>
    <w:rsid w:val="003A124A"/>
    <w:rsid w:val="003D7C44"/>
    <w:rsid w:val="003E5CE9"/>
    <w:rsid w:val="003F58D1"/>
    <w:rsid w:val="003F65B6"/>
    <w:rsid w:val="00420E9F"/>
    <w:rsid w:val="00422B00"/>
    <w:rsid w:val="0046604E"/>
    <w:rsid w:val="00472286"/>
    <w:rsid w:val="00472860"/>
    <w:rsid w:val="00492FA1"/>
    <w:rsid w:val="00494D92"/>
    <w:rsid w:val="00497060"/>
    <w:rsid w:val="004B02B0"/>
    <w:rsid w:val="004C14E0"/>
    <w:rsid w:val="004D4141"/>
    <w:rsid w:val="004F7369"/>
    <w:rsid w:val="005066E0"/>
    <w:rsid w:val="00516101"/>
    <w:rsid w:val="00567000"/>
    <w:rsid w:val="00575849"/>
    <w:rsid w:val="005938DF"/>
    <w:rsid w:val="005A7134"/>
    <w:rsid w:val="005D6810"/>
    <w:rsid w:val="005F4817"/>
    <w:rsid w:val="00655C04"/>
    <w:rsid w:val="00657C22"/>
    <w:rsid w:val="0068043B"/>
    <w:rsid w:val="0069147B"/>
    <w:rsid w:val="006979D0"/>
    <w:rsid w:val="006B571C"/>
    <w:rsid w:val="006C786E"/>
    <w:rsid w:val="006D633A"/>
    <w:rsid w:val="006D7214"/>
    <w:rsid w:val="006D7939"/>
    <w:rsid w:val="00716B5A"/>
    <w:rsid w:val="007202FF"/>
    <w:rsid w:val="00720DA4"/>
    <w:rsid w:val="0072659A"/>
    <w:rsid w:val="00735262"/>
    <w:rsid w:val="0073625D"/>
    <w:rsid w:val="0075156E"/>
    <w:rsid w:val="0075755C"/>
    <w:rsid w:val="007575D3"/>
    <w:rsid w:val="00763190"/>
    <w:rsid w:val="007A4D1D"/>
    <w:rsid w:val="007B7D92"/>
    <w:rsid w:val="007C5981"/>
    <w:rsid w:val="007F7319"/>
    <w:rsid w:val="00803164"/>
    <w:rsid w:val="00810971"/>
    <w:rsid w:val="008426E2"/>
    <w:rsid w:val="0084781B"/>
    <w:rsid w:val="008575B1"/>
    <w:rsid w:val="0086084B"/>
    <w:rsid w:val="00863A9A"/>
    <w:rsid w:val="00875655"/>
    <w:rsid w:val="008A795D"/>
    <w:rsid w:val="008F5BCC"/>
    <w:rsid w:val="00903E4E"/>
    <w:rsid w:val="00907F5A"/>
    <w:rsid w:val="00945026"/>
    <w:rsid w:val="009565C2"/>
    <w:rsid w:val="009C7666"/>
    <w:rsid w:val="00A00517"/>
    <w:rsid w:val="00A0153C"/>
    <w:rsid w:val="00A03728"/>
    <w:rsid w:val="00A143D3"/>
    <w:rsid w:val="00A24413"/>
    <w:rsid w:val="00A55987"/>
    <w:rsid w:val="00A657CF"/>
    <w:rsid w:val="00AD2331"/>
    <w:rsid w:val="00AD4EC4"/>
    <w:rsid w:val="00AE7810"/>
    <w:rsid w:val="00B06AA7"/>
    <w:rsid w:val="00B155C2"/>
    <w:rsid w:val="00B222AF"/>
    <w:rsid w:val="00B50160"/>
    <w:rsid w:val="00B544E3"/>
    <w:rsid w:val="00B57740"/>
    <w:rsid w:val="00B73D51"/>
    <w:rsid w:val="00B91A55"/>
    <w:rsid w:val="00B94257"/>
    <w:rsid w:val="00B96603"/>
    <w:rsid w:val="00BB307E"/>
    <w:rsid w:val="00BE05FD"/>
    <w:rsid w:val="00BE539C"/>
    <w:rsid w:val="00C325DF"/>
    <w:rsid w:val="00C5321F"/>
    <w:rsid w:val="00C77605"/>
    <w:rsid w:val="00C82B36"/>
    <w:rsid w:val="00C85C9C"/>
    <w:rsid w:val="00C86658"/>
    <w:rsid w:val="00D06DED"/>
    <w:rsid w:val="00D208EB"/>
    <w:rsid w:val="00D60D21"/>
    <w:rsid w:val="00D628BE"/>
    <w:rsid w:val="00D629CC"/>
    <w:rsid w:val="00D63545"/>
    <w:rsid w:val="00D762D8"/>
    <w:rsid w:val="00D84E37"/>
    <w:rsid w:val="00DB6CB2"/>
    <w:rsid w:val="00DD7B04"/>
    <w:rsid w:val="00E10EF0"/>
    <w:rsid w:val="00E15174"/>
    <w:rsid w:val="00E419EF"/>
    <w:rsid w:val="00E64AB1"/>
    <w:rsid w:val="00E71ED5"/>
    <w:rsid w:val="00E976BE"/>
    <w:rsid w:val="00EC0084"/>
    <w:rsid w:val="00EF0847"/>
    <w:rsid w:val="00EF198E"/>
    <w:rsid w:val="00F11060"/>
    <w:rsid w:val="00F12B0A"/>
    <w:rsid w:val="00F12FF5"/>
    <w:rsid w:val="00F330CC"/>
    <w:rsid w:val="00F50BE5"/>
    <w:rsid w:val="00F601DD"/>
    <w:rsid w:val="00F91D0A"/>
    <w:rsid w:val="00FD27A6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14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71ED5"/>
    <w:pPr>
      <w:numPr>
        <w:numId w:val="2"/>
      </w:numPr>
    </w:pPr>
  </w:style>
  <w:style w:type="character" w:styleId="Hyperlink">
    <w:name w:val="Hyperlink"/>
    <w:rsid w:val="00045743"/>
    <w:rPr>
      <w:color w:val="0000FF"/>
      <w:u w:val="single"/>
    </w:rPr>
  </w:style>
  <w:style w:type="paragraph" w:styleId="NormalWeb">
    <w:name w:val="Normal (Web)"/>
    <w:basedOn w:val="Normal"/>
    <w:rsid w:val="00907F5A"/>
    <w:pPr>
      <w:spacing w:before="100" w:beforeAutospacing="1" w:after="100" w:afterAutospacing="1"/>
    </w:pPr>
  </w:style>
  <w:style w:type="character" w:styleId="CommentReference">
    <w:name w:val="annotation reference"/>
    <w:rsid w:val="00B22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AF"/>
    <w:rPr>
      <w:sz w:val="20"/>
    </w:rPr>
  </w:style>
  <w:style w:type="character" w:customStyle="1" w:styleId="CommentTextChar">
    <w:name w:val="Comment Text Char"/>
    <w:link w:val="CommentText"/>
    <w:rsid w:val="00B222A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22AF"/>
    <w:rPr>
      <w:b/>
      <w:bCs w:val="0"/>
    </w:rPr>
  </w:style>
  <w:style w:type="character" w:customStyle="1" w:styleId="CommentSubjectChar">
    <w:name w:val="Comment Subject Char"/>
    <w:link w:val="CommentSubject"/>
    <w:rsid w:val="00B222AF"/>
    <w:rPr>
      <w:b/>
      <w:bCs w:val="0"/>
      <w:lang w:val="en-GB" w:eastAsia="en-GB"/>
    </w:rPr>
  </w:style>
  <w:style w:type="table" w:styleId="TableGrid">
    <w:name w:val="Table Grid"/>
    <w:basedOn w:val="TableNormal"/>
    <w:rsid w:val="00F6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14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71ED5"/>
    <w:pPr>
      <w:numPr>
        <w:numId w:val="2"/>
      </w:numPr>
    </w:pPr>
  </w:style>
  <w:style w:type="character" w:styleId="Hyperlink">
    <w:name w:val="Hyperlink"/>
    <w:rsid w:val="00045743"/>
    <w:rPr>
      <w:color w:val="0000FF"/>
      <w:u w:val="single"/>
    </w:rPr>
  </w:style>
  <w:style w:type="paragraph" w:styleId="NormalWeb">
    <w:name w:val="Normal (Web)"/>
    <w:basedOn w:val="Normal"/>
    <w:rsid w:val="00907F5A"/>
    <w:pPr>
      <w:spacing w:before="100" w:beforeAutospacing="1" w:after="100" w:afterAutospacing="1"/>
    </w:pPr>
  </w:style>
  <w:style w:type="character" w:styleId="CommentReference">
    <w:name w:val="annotation reference"/>
    <w:rsid w:val="00B22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AF"/>
    <w:rPr>
      <w:sz w:val="20"/>
    </w:rPr>
  </w:style>
  <w:style w:type="character" w:customStyle="1" w:styleId="CommentTextChar">
    <w:name w:val="Comment Text Char"/>
    <w:link w:val="CommentText"/>
    <w:rsid w:val="00B222AF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22AF"/>
    <w:rPr>
      <w:b/>
      <w:bCs w:val="0"/>
    </w:rPr>
  </w:style>
  <w:style w:type="character" w:customStyle="1" w:styleId="CommentSubjectChar">
    <w:name w:val="Comment Subject Char"/>
    <w:link w:val="CommentSubject"/>
    <w:rsid w:val="00B222AF"/>
    <w:rPr>
      <w:b/>
      <w:bCs w:val="0"/>
      <w:lang w:val="en-GB" w:eastAsia="en-GB"/>
    </w:rPr>
  </w:style>
  <w:style w:type="table" w:styleId="TableGrid">
    <w:name w:val="Table Grid"/>
    <w:basedOn w:val="TableNormal"/>
    <w:rsid w:val="00F6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9046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2019-03-13T15:42:00Z</dcterms:created>
  <dcterms:modified xsi:type="dcterms:W3CDTF">2019-03-13T15:42:00Z</dcterms:modified>
</cp:coreProperties>
</file>