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6F8" w:rsidRPr="00AD1E5B" w:rsidRDefault="00E046F8" w:rsidP="00E046F8">
      <w:pPr>
        <w:rPr>
          <w:rFonts w:cs="Arial"/>
          <w:b/>
          <w:szCs w:val="24"/>
        </w:rPr>
      </w:pPr>
      <w:bookmarkStart w:id="0" w:name="_GoBack"/>
      <w:bookmarkEnd w:id="0"/>
      <w:r>
        <w:rPr>
          <w:b/>
          <w:szCs w:val="24"/>
        </w:rPr>
        <w:t>BROȘURA Nr. 14 - DREPTURILE COABITANȚILOR</w:t>
      </w:r>
    </w:p>
    <w:p w:rsidR="00E046F8" w:rsidRPr="00AD1E5B" w:rsidRDefault="00E046F8" w:rsidP="00E046F8">
      <w:pPr>
        <w:rPr>
          <w:rFonts w:cs="Arial"/>
          <w:b/>
          <w:szCs w:val="24"/>
        </w:rPr>
      </w:pPr>
    </w:p>
    <w:p w:rsidR="00B5509F" w:rsidRPr="00AD1E5B" w:rsidRDefault="00E319D3" w:rsidP="00B5509F">
      <w:pPr>
        <w:rPr>
          <w:rFonts w:cs="Arial"/>
          <w:szCs w:val="24"/>
        </w:rPr>
      </w:pPr>
      <w:r>
        <w:t>Un coabitant este o persoană care trăiește împreună cu altă persoană:</w:t>
      </w:r>
    </w:p>
    <w:p w:rsidR="00B5509F" w:rsidRPr="00AD1E5B" w:rsidRDefault="00B5509F" w:rsidP="00B5509F">
      <w:pPr>
        <w:pStyle w:val="ListParagraph"/>
        <w:numPr>
          <w:ilvl w:val="0"/>
          <w:numId w:val="1"/>
        </w:numPr>
        <w:rPr>
          <w:rFonts w:cs="Arial"/>
          <w:szCs w:val="24"/>
        </w:rPr>
      </w:pPr>
      <w:r>
        <w:t>în calitate de cuplu și într-o relație intimă și asumată;</w:t>
      </w:r>
    </w:p>
    <w:p w:rsidR="00B5509F" w:rsidRPr="00AD1E5B" w:rsidRDefault="00E319D3" w:rsidP="00B5509F">
      <w:pPr>
        <w:pStyle w:val="ListParagraph"/>
        <w:numPr>
          <w:ilvl w:val="0"/>
          <w:numId w:val="1"/>
        </w:numPr>
        <w:rPr>
          <w:rFonts w:cs="Arial"/>
          <w:szCs w:val="24"/>
        </w:rPr>
      </w:pPr>
      <w:r>
        <w:t>care nu este înrudită cu aceasta în gradele de rudenie interzise pentru o relație – precum părinți, bunici, frați/surori, copii, nepoți de bunici sau nepoate/nepoți de unchi; și</w:t>
      </w:r>
    </w:p>
    <w:p w:rsidR="00E046F8" w:rsidRPr="00AD1E5B" w:rsidRDefault="00C85E45" w:rsidP="00B5509F">
      <w:pPr>
        <w:pStyle w:val="ListParagraph"/>
        <w:numPr>
          <w:ilvl w:val="0"/>
          <w:numId w:val="1"/>
        </w:numPr>
        <w:rPr>
          <w:rFonts w:cs="Arial"/>
          <w:szCs w:val="24"/>
        </w:rPr>
      </w:pPr>
      <w:r>
        <w:t>nu este căsătorită sau într-un parteneriat civil cu persoana respectivă.</w:t>
      </w:r>
    </w:p>
    <w:p w:rsidR="00B933A8" w:rsidRPr="00AD1E5B" w:rsidRDefault="00B933A8">
      <w:pPr>
        <w:rPr>
          <w:rFonts w:cs="Arial"/>
          <w:szCs w:val="24"/>
        </w:rPr>
      </w:pPr>
    </w:p>
    <w:p w:rsidR="00B5509F" w:rsidRPr="00AD1E5B" w:rsidRDefault="00C85E45">
      <w:pPr>
        <w:rPr>
          <w:rFonts w:cs="Arial"/>
          <w:szCs w:val="24"/>
        </w:rPr>
      </w:pPr>
      <w:r>
        <w:t>Legea din 2010 privind parteneriatele civile și anumite drepturi ale coabitanților le conferă coabitanților pe termen lung drepturi legale în momentul desfacerii relației, denumiți „coabitanții calificați” în temeiul Legii.</w:t>
      </w:r>
    </w:p>
    <w:p w:rsidR="00B5509F" w:rsidRPr="00AD1E5B" w:rsidRDefault="00B5509F">
      <w:pPr>
        <w:rPr>
          <w:rFonts w:cs="Arial"/>
          <w:szCs w:val="24"/>
        </w:rPr>
      </w:pPr>
    </w:p>
    <w:p w:rsidR="00B5509F" w:rsidRPr="00AD1E5B" w:rsidRDefault="00B5509F" w:rsidP="00B5509F">
      <w:pPr>
        <w:rPr>
          <w:rFonts w:cs="Arial"/>
          <w:szCs w:val="24"/>
        </w:rPr>
      </w:pPr>
      <w:r>
        <w:t>Pentru a se califica pentru drepturile disponibile prin lege, coabitanții trebuie să fi trăit împreună timp de cel puțin cinci ani dacă nu au copii sau doi ani dacă au copii. Nu vă puteți califica drept coabitant calificat dacă dvs. sau partenerul/partenera dvs. este căsătorit(ă) și, în momentul desfacerii relației, persoana care este căsătorită nu este separată de soț/soție de cel puțin patru din ultimii cinci ani.</w:t>
      </w:r>
    </w:p>
    <w:p w:rsidR="00057C51" w:rsidRPr="00AD1E5B" w:rsidRDefault="00057C51" w:rsidP="00B5509F">
      <w:pPr>
        <w:rPr>
          <w:rFonts w:cs="Arial"/>
          <w:szCs w:val="24"/>
        </w:rPr>
      </w:pPr>
    </w:p>
    <w:p w:rsidR="008B3242" w:rsidRPr="00AD1E5B" w:rsidRDefault="008B3242" w:rsidP="00B5509F">
      <w:pPr>
        <w:rPr>
          <w:rFonts w:cs="Arial"/>
          <w:b/>
          <w:szCs w:val="24"/>
        </w:rPr>
      </w:pPr>
      <w:r>
        <w:rPr>
          <w:b/>
          <w:szCs w:val="24"/>
        </w:rPr>
        <w:t>Dacă relația cu partenerul/partenera dvs. întâmpină dificultăți</w:t>
      </w:r>
    </w:p>
    <w:p w:rsidR="00DE6E35" w:rsidRPr="00AD1E5B" w:rsidRDefault="008B3242" w:rsidP="00B5509F">
      <w:pPr>
        <w:rPr>
          <w:rFonts w:cs="Arial"/>
          <w:szCs w:val="24"/>
        </w:rPr>
      </w:pPr>
      <w:r>
        <w:t xml:space="preserve">Instanța va fi considerată întotdeauna drept ultima cale de soluționare. În Irlanda, procedurile instanțelor au în general un impact negativ asupra relațiilor și, cu toate că judecătorul va încerca să pronunțe o decizie echitabilă, s-ar putea ca rezultatul să nu fie cel dorit de fiecare parte. </w:t>
      </w:r>
    </w:p>
    <w:p w:rsidR="00DE6E35" w:rsidRPr="00AD1E5B" w:rsidRDefault="00DE6E35" w:rsidP="00B5509F">
      <w:pPr>
        <w:rPr>
          <w:rFonts w:cs="Arial"/>
          <w:szCs w:val="24"/>
        </w:rPr>
      </w:pPr>
    </w:p>
    <w:p w:rsidR="008B3242" w:rsidRPr="00AD1E5B" w:rsidRDefault="008B3242" w:rsidP="00B5509F">
      <w:pPr>
        <w:rPr>
          <w:rFonts w:cs="Arial"/>
          <w:szCs w:val="24"/>
        </w:rPr>
      </w:pPr>
      <w:r>
        <w:t xml:space="preserve">Ar fi mai bine să vă prezentați la ședințe de consiliere în relații sau de mediere a familiei pentru a ajuta la găsirea unei soluții reciproc acceptabile pentru ambele părți. Detaliile privind medierea familiei finanțată de Stat sunt disponibile la </w:t>
      </w:r>
      <w:hyperlink r:id="rId8" w:history="1">
        <w:r>
          <w:rPr>
            <w:rStyle w:val="Hyperlink"/>
          </w:rPr>
          <w:t>www.legalaidboard.ie</w:t>
        </w:r>
      </w:hyperlink>
      <w:r>
        <w:t xml:space="preserve"> </w:t>
      </w:r>
    </w:p>
    <w:p w:rsidR="008B3242" w:rsidRPr="00AD1E5B" w:rsidRDefault="008B3242" w:rsidP="00B5509F">
      <w:pPr>
        <w:rPr>
          <w:rFonts w:cs="Arial"/>
          <w:szCs w:val="24"/>
        </w:rPr>
      </w:pPr>
    </w:p>
    <w:p w:rsidR="00057C51" w:rsidRPr="00D00D8B" w:rsidRDefault="00497728" w:rsidP="00B5509F">
      <w:pPr>
        <w:rPr>
          <w:rFonts w:cs="Arial"/>
          <w:b/>
          <w:szCs w:val="24"/>
        </w:rPr>
      </w:pPr>
      <w:r>
        <w:rPr>
          <w:b/>
          <w:szCs w:val="24"/>
        </w:rPr>
        <w:t>Sistemul de recurs pentru coabitanții pe termen lung</w:t>
      </w:r>
    </w:p>
    <w:p w:rsidR="00497728" w:rsidRPr="00D9148E" w:rsidRDefault="00497728" w:rsidP="00B5509F">
      <w:pPr>
        <w:rPr>
          <w:rFonts w:cs="Arial"/>
          <w:szCs w:val="24"/>
        </w:rPr>
      </w:pPr>
      <w:r>
        <w:t>Un coabitant calificat poate solicita Instanței anumite hotărâri:</w:t>
      </w:r>
    </w:p>
    <w:p w:rsidR="008B3242" w:rsidRPr="00D9148E" w:rsidRDefault="008B3242" w:rsidP="00497728">
      <w:pPr>
        <w:pStyle w:val="ListParagraph"/>
        <w:numPr>
          <w:ilvl w:val="0"/>
          <w:numId w:val="3"/>
        </w:numPr>
        <w:rPr>
          <w:rFonts w:cs="Arial"/>
          <w:szCs w:val="24"/>
        </w:rPr>
      </w:pPr>
      <w:r>
        <w:t>O hotărâre conform căreia un coabitant îi plătește o sumă paușală celuilalt coabitant;</w:t>
      </w:r>
    </w:p>
    <w:p w:rsidR="00497728" w:rsidRPr="00D9148E" w:rsidRDefault="00497728" w:rsidP="00497728">
      <w:pPr>
        <w:pStyle w:val="ListParagraph"/>
        <w:numPr>
          <w:ilvl w:val="0"/>
          <w:numId w:val="3"/>
        </w:numPr>
        <w:rPr>
          <w:rFonts w:cs="Arial"/>
          <w:szCs w:val="24"/>
        </w:rPr>
      </w:pPr>
      <w:r>
        <w:t xml:space="preserve">O hotărâre prin care un coabitant dependent financiar să fie întreținut sub aspect financiar de către celălalt coabitant </w:t>
      </w:r>
      <w:r>
        <w:rPr>
          <w:b/>
          <w:szCs w:val="24"/>
        </w:rPr>
        <w:t xml:space="preserve">(o hotărâre de întreținere). </w:t>
      </w:r>
      <w:r>
        <w:t>De asemenea, Instanța poate să varieze (să modifice) această hotărâre în acord cu împrejurările, să emită hotărâri (temporare) intermediare, o hotărâre prin care plățile să fie efectuate direct către grefierul Judecătoriei și o hotărâre prin care angajatorul unei persoane să efectueze plățile din retribuțiile acesteia (anexarea câștigurilor);</w:t>
      </w:r>
    </w:p>
    <w:p w:rsidR="00497728" w:rsidRPr="00D9148E" w:rsidRDefault="00497728" w:rsidP="00497728">
      <w:pPr>
        <w:pStyle w:val="ListParagraph"/>
        <w:numPr>
          <w:ilvl w:val="0"/>
          <w:numId w:val="3"/>
        </w:numPr>
        <w:rPr>
          <w:rFonts w:cs="Arial"/>
          <w:szCs w:val="24"/>
        </w:rPr>
      </w:pPr>
      <w:r>
        <w:t>O hotărâre prin care se efectuează o plată sau un ajutor din pensia unui coabitant calificat către celălalt coabitant (</w:t>
      </w:r>
      <w:r>
        <w:rPr>
          <w:b/>
          <w:szCs w:val="24"/>
        </w:rPr>
        <w:t>o</w:t>
      </w:r>
      <w:r>
        <w:t xml:space="preserve"> </w:t>
      </w:r>
      <w:r>
        <w:rPr>
          <w:b/>
          <w:szCs w:val="24"/>
        </w:rPr>
        <w:t>hotărâre de ajustare a pensiei</w:t>
      </w:r>
      <w:r>
        <w:t>);</w:t>
      </w:r>
    </w:p>
    <w:p w:rsidR="008B3242" w:rsidRPr="00D9148E" w:rsidRDefault="00DE6E35" w:rsidP="00497728">
      <w:pPr>
        <w:pStyle w:val="ListParagraph"/>
        <w:numPr>
          <w:ilvl w:val="0"/>
          <w:numId w:val="3"/>
        </w:numPr>
        <w:rPr>
          <w:rFonts w:cs="Arial"/>
          <w:szCs w:val="24"/>
        </w:rPr>
      </w:pPr>
      <w:r>
        <w:t>O hotărâre prin care unui coabitant i se solicită să transfere o parte din bunuri către celălalt coabitant (</w:t>
      </w:r>
      <w:r>
        <w:rPr>
          <w:b/>
          <w:szCs w:val="24"/>
        </w:rPr>
        <w:t>o hotărâre de ajustare a bunurilor</w:t>
      </w:r>
      <w:r>
        <w:t>); și</w:t>
      </w:r>
    </w:p>
    <w:p w:rsidR="00DE6E35" w:rsidRPr="00D9148E" w:rsidRDefault="00DE6E35" w:rsidP="00497728">
      <w:pPr>
        <w:pStyle w:val="ListParagraph"/>
        <w:numPr>
          <w:ilvl w:val="0"/>
          <w:numId w:val="3"/>
        </w:numPr>
        <w:rPr>
          <w:rFonts w:cs="Arial"/>
          <w:szCs w:val="24"/>
        </w:rPr>
      </w:pPr>
      <w:r>
        <w:t>O hotărâre prin care unui coabitant supraviețuitor i se acordă un provizion din moștenirea lăsată de coabitantul decedat.</w:t>
      </w:r>
    </w:p>
    <w:p w:rsidR="00140EDB" w:rsidRPr="00D9148E" w:rsidRDefault="00140EDB" w:rsidP="00140EDB">
      <w:pPr>
        <w:rPr>
          <w:rFonts w:cs="Arial"/>
          <w:szCs w:val="24"/>
        </w:rPr>
      </w:pPr>
    </w:p>
    <w:p w:rsidR="00140EDB" w:rsidRPr="00D9148E" w:rsidRDefault="00140EDB" w:rsidP="00140EDB">
      <w:pPr>
        <w:rPr>
          <w:rFonts w:cs="Arial"/>
          <w:szCs w:val="24"/>
        </w:rPr>
      </w:pPr>
      <w:r>
        <w:lastRenderedPageBreak/>
        <w:t>Aceste hotărâri nu se acordă automat. Instanța va lua în considerare numeroși factori atunci când decide dacă să emită sau nu o hotărâre. Printre acești factori se numără:</w:t>
      </w:r>
    </w:p>
    <w:p w:rsidR="00140EDB" w:rsidRPr="00D9148E" w:rsidRDefault="00140EDB" w:rsidP="00140EDB">
      <w:pPr>
        <w:pStyle w:val="ListParagraph"/>
        <w:numPr>
          <w:ilvl w:val="0"/>
          <w:numId w:val="7"/>
        </w:numPr>
        <w:rPr>
          <w:rFonts w:eastAsia="Times New Roman" w:cs="Arial"/>
          <w:szCs w:val="24"/>
        </w:rPr>
      </w:pPr>
      <w:r>
        <w:t>Situațiile financiare, nevoile și obligațiile fiecărui coabitant:</w:t>
      </w:r>
    </w:p>
    <w:p w:rsidR="00140EDB" w:rsidRPr="00D9148E" w:rsidRDefault="00140EDB" w:rsidP="00140EDB">
      <w:pPr>
        <w:pStyle w:val="ListParagraph"/>
        <w:numPr>
          <w:ilvl w:val="0"/>
          <w:numId w:val="7"/>
        </w:numPr>
        <w:rPr>
          <w:rFonts w:eastAsia="Times New Roman" w:cs="Arial"/>
          <w:szCs w:val="24"/>
        </w:rPr>
      </w:pPr>
      <w:r>
        <w:t xml:space="preserve">Drepturile celorlalți (inclusiv drepturile soților, ale foștilor soți, ale partenerilor civili, ale foștilor parteneri civili și ale copiilor celuilalt partener aflați în întreținere); </w:t>
      </w:r>
    </w:p>
    <w:p w:rsidR="00140EDB" w:rsidRPr="00D9148E" w:rsidRDefault="00140EDB" w:rsidP="00140EDB">
      <w:pPr>
        <w:pStyle w:val="ListParagraph"/>
        <w:numPr>
          <w:ilvl w:val="0"/>
          <w:numId w:val="7"/>
        </w:numPr>
        <w:rPr>
          <w:rFonts w:eastAsia="Times New Roman" w:cs="Arial"/>
          <w:szCs w:val="24"/>
        </w:rPr>
      </w:pPr>
      <w:r>
        <w:t>Durata și natura relației; și contribuția făcută de fiecare dintre aceștia, de ordin financiar sau de altă natură</w:t>
      </w:r>
    </w:p>
    <w:p w:rsidR="00140EDB" w:rsidRPr="00D9148E" w:rsidRDefault="00140EDB" w:rsidP="00B5509F">
      <w:pPr>
        <w:rPr>
          <w:rFonts w:eastAsia="Times New Roman" w:cs="Arial"/>
          <w:szCs w:val="24"/>
          <w:lang w:eastAsia="en-IE"/>
        </w:rPr>
      </w:pPr>
    </w:p>
    <w:p w:rsidR="0085516E" w:rsidRPr="00D9148E" w:rsidRDefault="00140EDB" w:rsidP="0085516E">
      <w:pPr>
        <w:rPr>
          <w:rFonts w:eastAsia="Times New Roman" w:cs="Arial"/>
          <w:b/>
          <w:szCs w:val="24"/>
        </w:rPr>
      </w:pPr>
      <w:r>
        <w:rPr>
          <w:b/>
          <w:szCs w:val="24"/>
        </w:rPr>
        <w:t>Acordurile între coabitanți</w:t>
      </w:r>
    </w:p>
    <w:p w:rsidR="00140EDB" w:rsidRPr="00D9148E" w:rsidRDefault="00140EDB" w:rsidP="0085516E">
      <w:pPr>
        <w:rPr>
          <w:rFonts w:cs="Arial"/>
          <w:szCs w:val="24"/>
        </w:rPr>
      </w:pPr>
      <w:r>
        <w:t>Puteți încheia un Acord între coabitanți cu partenerul/partenera dvs. pentru a stabili înțelegerile financiare în cazul unei desfaceri a relației dvs.</w:t>
      </w:r>
    </w:p>
    <w:p w:rsidR="0085516E" w:rsidRPr="00D9148E" w:rsidRDefault="0085516E" w:rsidP="00D04F0B">
      <w:pPr>
        <w:rPr>
          <w:rFonts w:cs="Arial"/>
          <w:szCs w:val="24"/>
        </w:rPr>
      </w:pPr>
    </w:p>
    <w:p w:rsidR="00D04F0B" w:rsidRPr="00D9148E" w:rsidRDefault="00140EDB" w:rsidP="00D04F0B">
      <w:pPr>
        <w:rPr>
          <w:rFonts w:cs="Arial"/>
          <w:szCs w:val="24"/>
        </w:rPr>
      </w:pPr>
      <w:r>
        <w:t>Pentru ca un astfel de acord să fie valid, trebuie îndeplinite următoarele condiții:</w:t>
      </w:r>
    </w:p>
    <w:p w:rsidR="00D04F0B" w:rsidRPr="00D9148E" w:rsidRDefault="00140EDB" w:rsidP="00D04F0B">
      <w:pPr>
        <w:pStyle w:val="ListParagraph"/>
        <w:numPr>
          <w:ilvl w:val="0"/>
          <w:numId w:val="11"/>
        </w:numPr>
        <w:rPr>
          <w:rFonts w:eastAsia="Times New Roman" w:cs="Arial"/>
          <w:szCs w:val="24"/>
        </w:rPr>
      </w:pPr>
      <w:r>
        <w:t xml:space="preserve">Fiecare dintre dvs. a beneficiat de consiliere juridică independentă sau ați beneficiat împreună de consiliere juridică și ați renunțat la dreptul de consiliere juridică independentă; </w:t>
      </w:r>
    </w:p>
    <w:p w:rsidR="00D04F0B" w:rsidRPr="00D9148E" w:rsidRDefault="00140EDB" w:rsidP="00D04F0B">
      <w:pPr>
        <w:pStyle w:val="ListParagraph"/>
        <w:numPr>
          <w:ilvl w:val="0"/>
          <w:numId w:val="11"/>
        </w:numPr>
        <w:rPr>
          <w:rFonts w:eastAsia="Times New Roman" w:cs="Arial"/>
          <w:szCs w:val="24"/>
        </w:rPr>
      </w:pPr>
      <w:r>
        <w:t>Acordul constituie un contract și respectă legislația privind contractele; și</w:t>
      </w:r>
    </w:p>
    <w:p w:rsidR="00140EDB" w:rsidRPr="00D9148E" w:rsidRDefault="00140EDB" w:rsidP="00D04F0B">
      <w:pPr>
        <w:pStyle w:val="ListParagraph"/>
        <w:numPr>
          <w:ilvl w:val="0"/>
          <w:numId w:val="11"/>
        </w:numPr>
        <w:rPr>
          <w:rFonts w:eastAsia="Times New Roman" w:cs="Arial"/>
          <w:szCs w:val="24"/>
        </w:rPr>
      </w:pPr>
      <w:r>
        <w:t>Acordul a fost semnat de fiecare dintre dvs.</w:t>
      </w:r>
    </w:p>
    <w:p w:rsidR="00140EDB" w:rsidRPr="00D9148E" w:rsidRDefault="00140EDB" w:rsidP="00B5509F">
      <w:pPr>
        <w:rPr>
          <w:rFonts w:cs="Arial"/>
          <w:szCs w:val="24"/>
        </w:rPr>
      </w:pPr>
    </w:p>
    <w:p w:rsidR="00D04F0B" w:rsidRPr="00D9148E" w:rsidRDefault="00D04F0B" w:rsidP="00B5509F">
      <w:pPr>
        <w:rPr>
          <w:rFonts w:cs="Arial"/>
          <w:szCs w:val="24"/>
        </w:rPr>
      </w:pPr>
      <w:r>
        <w:t>Puteți să includeți în contract sistemul de recurs prin intermediul unui Acord între coabitanți. Acordurile între coabitanți sunt executorii de către instanță, cu toate acesta, Instanța le poate respinge sau poate modifica acordul dacă executarea acestuia ar provoca nedreptăți grave.</w:t>
      </w:r>
    </w:p>
    <w:p w:rsidR="00D04F0B" w:rsidRPr="00D9148E" w:rsidRDefault="00D04F0B" w:rsidP="00B5509F">
      <w:pPr>
        <w:rPr>
          <w:rFonts w:cs="Arial"/>
          <w:szCs w:val="24"/>
        </w:rPr>
      </w:pPr>
    </w:p>
    <w:p w:rsidR="00D04F0B" w:rsidRPr="00D9148E" w:rsidRDefault="00D04F0B" w:rsidP="00B5509F">
      <w:pPr>
        <w:rPr>
          <w:rFonts w:cs="Arial"/>
          <w:b/>
          <w:szCs w:val="24"/>
        </w:rPr>
      </w:pPr>
      <w:r>
        <w:rPr>
          <w:b/>
          <w:szCs w:val="24"/>
        </w:rPr>
        <w:t xml:space="preserve">Violența domestică </w:t>
      </w:r>
    </w:p>
    <w:p w:rsidR="00D04F0B" w:rsidRPr="00D9148E" w:rsidRDefault="00D04F0B" w:rsidP="00B5509F">
      <w:pPr>
        <w:rPr>
          <w:rFonts w:cs="Arial"/>
          <w:szCs w:val="24"/>
        </w:rPr>
      </w:pPr>
      <w:r>
        <w:t>Coabitanții au la dispoziție căi de remediere conform Legilor privind violența domestică:</w:t>
      </w:r>
    </w:p>
    <w:p w:rsidR="008077C6" w:rsidRPr="00D9148E" w:rsidRDefault="008077C6" w:rsidP="00B5509F">
      <w:pPr>
        <w:rPr>
          <w:rFonts w:cs="Arial"/>
          <w:szCs w:val="24"/>
        </w:rPr>
      </w:pPr>
    </w:p>
    <w:p w:rsidR="00C4474C" w:rsidRPr="00C4474C" w:rsidRDefault="00C4474C" w:rsidP="009747FB">
      <w:pPr>
        <w:rPr>
          <w:rFonts w:cs="Arial"/>
          <w:b/>
          <w:szCs w:val="24"/>
        </w:rPr>
      </w:pPr>
      <w:r>
        <w:rPr>
          <w:b/>
          <w:szCs w:val="24"/>
        </w:rPr>
        <w:t>Când poate acorda o instanță un ordin de siguranță coabitanților?</w:t>
      </w:r>
    </w:p>
    <w:p w:rsidR="00C4474C" w:rsidRPr="00C4474C" w:rsidRDefault="00C4474C" w:rsidP="00C4474C">
      <w:pPr>
        <w:numPr>
          <w:ilvl w:val="0"/>
          <w:numId w:val="12"/>
        </w:numPr>
        <w:rPr>
          <w:rFonts w:cs="Arial"/>
          <w:szCs w:val="24"/>
        </w:rPr>
      </w:pPr>
      <w:r>
        <w:t>O instanță poate acorda un ordin de siguranță (inclusiv un ordin de protecție) dacă părțile trăiesc împreună într-o relație intimă.</w:t>
      </w:r>
    </w:p>
    <w:p w:rsidR="00C4474C" w:rsidRPr="00C4474C" w:rsidRDefault="00C4474C" w:rsidP="009747FB">
      <w:pPr>
        <w:ind w:left="360"/>
        <w:rPr>
          <w:rFonts w:cs="Arial"/>
          <w:szCs w:val="24"/>
        </w:rPr>
      </w:pPr>
      <w:r>
        <w:t xml:space="preserve"> </w:t>
      </w:r>
    </w:p>
    <w:p w:rsidR="00C4474C" w:rsidRPr="00C4474C" w:rsidRDefault="00C4474C" w:rsidP="009747FB">
      <w:pPr>
        <w:rPr>
          <w:rFonts w:cs="Arial"/>
          <w:b/>
          <w:szCs w:val="24"/>
        </w:rPr>
      </w:pPr>
      <w:r>
        <w:rPr>
          <w:b/>
          <w:szCs w:val="24"/>
        </w:rPr>
        <w:t>Când poate o instanță să acorde coabitanților un ordin de interdicție?</w:t>
      </w:r>
    </w:p>
    <w:p w:rsidR="00C4474C" w:rsidRPr="00C4474C" w:rsidRDefault="00C4474C" w:rsidP="00C4474C">
      <w:pPr>
        <w:numPr>
          <w:ilvl w:val="0"/>
          <w:numId w:val="12"/>
        </w:numPr>
        <w:rPr>
          <w:rFonts w:cs="Arial"/>
          <w:szCs w:val="24"/>
        </w:rPr>
      </w:pPr>
      <w:r>
        <w:t>O instanță poate acorda un ordin de interdicție coabitanților care trăiesc împreună într-o relație intimă.</w:t>
      </w:r>
    </w:p>
    <w:p w:rsidR="00C4474C" w:rsidRPr="00C4474C" w:rsidRDefault="00C4474C" w:rsidP="006664F7">
      <w:pPr>
        <w:ind w:left="360"/>
        <w:rPr>
          <w:rFonts w:cs="Arial"/>
          <w:szCs w:val="24"/>
        </w:rPr>
      </w:pPr>
    </w:p>
    <w:p w:rsidR="00C4474C" w:rsidRPr="00C4474C" w:rsidRDefault="00C4474C" w:rsidP="009747FB">
      <w:pPr>
        <w:rPr>
          <w:rFonts w:cs="Arial"/>
          <w:b/>
          <w:szCs w:val="24"/>
        </w:rPr>
      </w:pPr>
      <w:r>
        <w:rPr>
          <w:b/>
          <w:szCs w:val="24"/>
        </w:rPr>
        <w:t>Când poate acorda o instanță un ordin de siguranță sau un ordin de protecție persoanelor care nu trăiesc împreună?</w:t>
      </w:r>
    </w:p>
    <w:p w:rsidR="00C4474C" w:rsidRDefault="00C4474C" w:rsidP="00C4474C">
      <w:pPr>
        <w:numPr>
          <w:ilvl w:val="0"/>
          <w:numId w:val="12"/>
        </w:numPr>
        <w:rPr>
          <w:rFonts w:cs="Arial"/>
          <w:szCs w:val="24"/>
        </w:rPr>
      </w:pPr>
      <w:r>
        <w:t>Toți partenerii aflați într-o relație intimă sunt eligibili pentru ordine de siguranță și de protecție și nu trebuie să locuiască împreună.</w:t>
      </w:r>
    </w:p>
    <w:p w:rsidR="006664F7" w:rsidRPr="00C4474C" w:rsidRDefault="006664F7" w:rsidP="006664F7">
      <w:pPr>
        <w:ind w:left="360"/>
        <w:rPr>
          <w:rFonts w:cs="Arial"/>
          <w:szCs w:val="24"/>
        </w:rPr>
      </w:pPr>
    </w:p>
    <w:p w:rsidR="00004F87" w:rsidRDefault="00C4474C" w:rsidP="005B6F9A">
      <w:pPr>
        <w:rPr>
          <w:rFonts w:cs="Arial"/>
          <w:b/>
          <w:szCs w:val="24"/>
        </w:rPr>
      </w:pPr>
      <w:r>
        <w:rPr>
          <w:b/>
          <w:szCs w:val="24"/>
        </w:rPr>
        <w:t>Când NU poate fi acordat un ordin de interdicție coabitanților?</w:t>
      </w:r>
    </w:p>
    <w:p w:rsidR="00C4474C" w:rsidRPr="00004F87" w:rsidRDefault="00C4474C" w:rsidP="00004F87">
      <w:pPr>
        <w:pStyle w:val="ListParagraph"/>
        <w:numPr>
          <w:ilvl w:val="0"/>
          <w:numId w:val="17"/>
        </w:numPr>
        <w:rPr>
          <w:rFonts w:cs="Arial"/>
          <w:szCs w:val="24"/>
        </w:rPr>
      </w:pPr>
      <w:r>
        <w:t>Un ordin de interdicție nu va fi emis împotriva unui coabitant care deține locul de reședință sau care are mai multe drepturi de proprietate decât coabitantul care solicită protecție.</w:t>
      </w:r>
    </w:p>
    <w:p w:rsidR="00D04F0B" w:rsidRPr="006664F7" w:rsidRDefault="00D04F0B" w:rsidP="00B5509F">
      <w:pPr>
        <w:rPr>
          <w:rFonts w:cs="Arial"/>
          <w:b/>
          <w:szCs w:val="24"/>
        </w:rPr>
      </w:pPr>
    </w:p>
    <w:p w:rsidR="00A7247E" w:rsidRPr="00D00D8B" w:rsidRDefault="00D00D8B" w:rsidP="00B5509F">
      <w:pPr>
        <w:rPr>
          <w:rFonts w:cs="Arial"/>
          <w:szCs w:val="24"/>
        </w:rPr>
      </w:pPr>
      <w:r>
        <w:t xml:space="preserve">În </w:t>
      </w:r>
      <w:r>
        <w:rPr>
          <w:b/>
          <w:szCs w:val="24"/>
        </w:rPr>
        <w:t>Broșura noastră cu Nr. 6 -</w:t>
      </w:r>
      <w:r>
        <w:t xml:space="preserve"> </w:t>
      </w:r>
      <w:r>
        <w:rPr>
          <w:b/>
          <w:szCs w:val="24"/>
        </w:rPr>
        <w:t>Violența domestică</w:t>
      </w:r>
      <w:r>
        <w:t>, sunt furnizate mai multe detalii privind căile de remediere disponibile prin Legile privind violența domestică.</w:t>
      </w:r>
    </w:p>
    <w:p w:rsidR="00A7247E" w:rsidRPr="00D9148E" w:rsidRDefault="00A7247E" w:rsidP="00B5509F">
      <w:pPr>
        <w:rPr>
          <w:rFonts w:cs="Arial"/>
          <w:szCs w:val="24"/>
        </w:rPr>
      </w:pPr>
    </w:p>
    <w:p w:rsidR="00A7247E" w:rsidRPr="00D9148E" w:rsidRDefault="00A7247E" w:rsidP="00B5509F">
      <w:pPr>
        <w:rPr>
          <w:rFonts w:cs="Arial"/>
          <w:b/>
          <w:szCs w:val="24"/>
        </w:rPr>
      </w:pPr>
      <w:r>
        <w:rPr>
          <w:b/>
          <w:szCs w:val="24"/>
        </w:rPr>
        <w:t>Drepturile de proprietate</w:t>
      </w:r>
    </w:p>
    <w:p w:rsidR="00A7247E" w:rsidRPr="00D9148E" w:rsidRDefault="00A7247E" w:rsidP="00B5509F">
      <w:pPr>
        <w:rPr>
          <w:rFonts w:cs="Arial"/>
          <w:szCs w:val="24"/>
        </w:rPr>
      </w:pPr>
      <w:r>
        <w:t>Dacă nu dețineți împreună un bun (amândoi sunteți proprietarii înregistrați sau pe actele de proprietate apar numele amândurora), nu aveți dreptul să moșteniți niciun bun de la partenerul/partenera dvs. după moartea acestuia/acesteia. În anumite situații, puteți să solicitați o parte din moștenirea coabitantului decedat. Coabitanții vor trebui să acorde atenție deosebită importanței întocmirii unui testament.</w:t>
      </w:r>
    </w:p>
    <w:p w:rsidR="00A7247E" w:rsidRPr="00D9148E" w:rsidRDefault="00A7247E" w:rsidP="00B5509F">
      <w:pPr>
        <w:rPr>
          <w:rFonts w:cs="Arial"/>
          <w:szCs w:val="24"/>
        </w:rPr>
      </w:pPr>
    </w:p>
    <w:p w:rsidR="00004F87" w:rsidRPr="00DC4023" w:rsidRDefault="00004F87" w:rsidP="00004F87">
      <w:pPr>
        <w:shd w:val="clear" w:color="auto" w:fill="FFFFFF" w:themeFill="background1"/>
      </w:pPr>
      <w:r>
        <w:t>Sediul central: Consiliul de Asistență Juridică, Quay Street, Cahirciveen, Co. Kerry,</w:t>
      </w:r>
      <w:r>
        <w:rPr>
          <w:color w:val="333333"/>
        </w:rPr>
        <w:t xml:space="preserve"> V23 RD36</w:t>
      </w:r>
      <w:r>
        <w:t xml:space="preserve"> </w:t>
      </w:r>
    </w:p>
    <w:p w:rsidR="00004F87" w:rsidRPr="00DC4023" w:rsidRDefault="00004F87" w:rsidP="00004F87">
      <w:pPr>
        <w:shd w:val="clear" w:color="auto" w:fill="FFFFFF" w:themeFill="background1"/>
      </w:pPr>
      <w:r>
        <w:t xml:space="preserve">Tel.:  (066) 947 1000    </w:t>
      </w:r>
    </w:p>
    <w:p w:rsidR="00004F87" w:rsidRPr="00DC4023" w:rsidRDefault="00004F87" w:rsidP="00004F87">
      <w:pPr>
        <w:shd w:val="clear" w:color="auto" w:fill="FFFFFF" w:themeFill="background1"/>
      </w:pPr>
      <w:r>
        <w:t>Fax: (066) 947 1035</w:t>
      </w:r>
    </w:p>
    <w:p w:rsidR="00004F87" w:rsidRPr="00DC4023" w:rsidRDefault="00004F87" w:rsidP="00004F87">
      <w:pPr>
        <w:shd w:val="clear" w:color="auto" w:fill="FFFFFF" w:themeFill="background1"/>
      </w:pPr>
      <w:r>
        <w:t>Nr. local: 1890 615 2000</w:t>
      </w:r>
    </w:p>
    <w:p w:rsidR="00004F87" w:rsidRPr="00DC4023" w:rsidRDefault="00004F87" w:rsidP="00004F87">
      <w:pPr>
        <w:shd w:val="clear" w:color="auto" w:fill="FFFFFF" w:themeFill="background1"/>
      </w:pPr>
      <w:r>
        <w:t xml:space="preserve">Site web: </w:t>
      </w:r>
      <w:hyperlink r:id="rId9" w:history="1">
        <w:r>
          <w:rPr>
            <w:rStyle w:val="Hyperlink"/>
          </w:rPr>
          <w:t>www.legalaidboard.ie</w:t>
        </w:r>
      </w:hyperlink>
    </w:p>
    <w:p w:rsidR="00004F87" w:rsidRPr="00DC4023" w:rsidRDefault="00004F87" w:rsidP="00004F87">
      <w:pPr>
        <w:shd w:val="clear" w:color="auto" w:fill="FFFFFF" w:themeFill="background1"/>
      </w:pPr>
    </w:p>
    <w:p w:rsidR="0085516E" w:rsidRPr="00D9148E" w:rsidRDefault="0085516E" w:rsidP="00B5509F">
      <w:pPr>
        <w:rPr>
          <w:rFonts w:cs="Arial"/>
          <w:szCs w:val="24"/>
        </w:rPr>
      </w:pPr>
    </w:p>
    <w:sectPr w:rsidR="0085516E" w:rsidRPr="00D9148E" w:rsidSect="00B933A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A92" w:rsidRDefault="00C60A92" w:rsidP="00C60A92">
      <w:r>
        <w:separator/>
      </w:r>
    </w:p>
  </w:endnote>
  <w:endnote w:type="continuationSeparator" w:id="0">
    <w:p w:rsidR="00C60A92" w:rsidRDefault="00C60A92" w:rsidP="00C60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A92" w:rsidRDefault="00C60A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A92" w:rsidRDefault="00C60A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A92" w:rsidRDefault="00C60A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A92" w:rsidRDefault="00C60A92" w:rsidP="00C60A92">
      <w:r>
        <w:separator/>
      </w:r>
    </w:p>
  </w:footnote>
  <w:footnote w:type="continuationSeparator" w:id="0">
    <w:p w:rsidR="00C60A92" w:rsidRDefault="00C60A92" w:rsidP="00C60A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A92" w:rsidRDefault="00C60A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A92" w:rsidRDefault="00C60A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A92" w:rsidRDefault="00C60A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355A"/>
    <w:multiLevelType w:val="hybridMultilevel"/>
    <w:tmpl w:val="DEDE87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0C20497"/>
    <w:multiLevelType w:val="hybridMultilevel"/>
    <w:tmpl w:val="A9ACA2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1871855"/>
    <w:multiLevelType w:val="hybridMultilevel"/>
    <w:tmpl w:val="74C659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99466DC"/>
    <w:multiLevelType w:val="hybridMultilevel"/>
    <w:tmpl w:val="C3B0D7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1D0F0130"/>
    <w:multiLevelType w:val="hybridMultilevel"/>
    <w:tmpl w:val="847C23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22095AD5"/>
    <w:multiLevelType w:val="multilevel"/>
    <w:tmpl w:val="3C145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1E1485"/>
    <w:multiLevelType w:val="hybridMultilevel"/>
    <w:tmpl w:val="BB10E4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3B643638"/>
    <w:multiLevelType w:val="multilevel"/>
    <w:tmpl w:val="3C145B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6361A7"/>
    <w:multiLevelType w:val="multilevel"/>
    <w:tmpl w:val="DAD82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A25D37"/>
    <w:multiLevelType w:val="multilevel"/>
    <w:tmpl w:val="3C145B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405BBC"/>
    <w:multiLevelType w:val="hybridMultilevel"/>
    <w:tmpl w:val="FB3A93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5F8A0CB9"/>
    <w:multiLevelType w:val="multilevel"/>
    <w:tmpl w:val="3C145B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A02AD0"/>
    <w:multiLevelType w:val="multilevel"/>
    <w:tmpl w:val="3C145B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BB7EF5"/>
    <w:multiLevelType w:val="hybridMultilevel"/>
    <w:tmpl w:val="AD0290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776E063B"/>
    <w:multiLevelType w:val="multilevel"/>
    <w:tmpl w:val="DAD82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7C87FFE"/>
    <w:multiLevelType w:val="hybridMultilevel"/>
    <w:tmpl w:val="1AB28F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7C0109FA"/>
    <w:multiLevelType w:val="hybridMultilevel"/>
    <w:tmpl w:val="D3AE677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1"/>
  </w:num>
  <w:num w:numId="4">
    <w:abstractNumId w:val="14"/>
  </w:num>
  <w:num w:numId="5">
    <w:abstractNumId w:val="13"/>
  </w:num>
  <w:num w:numId="6">
    <w:abstractNumId w:val="2"/>
  </w:num>
  <w:num w:numId="7">
    <w:abstractNumId w:val="11"/>
  </w:num>
  <w:num w:numId="8">
    <w:abstractNumId w:val="8"/>
  </w:num>
  <w:num w:numId="9">
    <w:abstractNumId w:val="12"/>
  </w:num>
  <w:num w:numId="10">
    <w:abstractNumId w:val="9"/>
  </w:num>
  <w:num w:numId="11">
    <w:abstractNumId w:val="7"/>
  </w:num>
  <w:num w:numId="12">
    <w:abstractNumId w:val="5"/>
  </w:num>
  <w:num w:numId="13">
    <w:abstractNumId w:val="0"/>
  </w:num>
  <w:num w:numId="14">
    <w:abstractNumId w:val="16"/>
  </w:num>
  <w:num w:numId="15">
    <w:abstractNumId w:val="15"/>
  </w:num>
  <w:num w:numId="16">
    <w:abstractNumId w:val="1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trackRevisions/>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6F8"/>
    <w:rsid w:val="00004F87"/>
    <w:rsid w:val="000356E3"/>
    <w:rsid w:val="00057C51"/>
    <w:rsid w:val="00140EDB"/>
    <w:rsid w:val="00152A39"/>
    <w:rsid w:val="001A535D"/>
    <w:rsid w:val="001E2F96"/>
    <w:rsid w:val="00255EDA"/>
    <w:rsid w:val="0027619C"/>
    <w:rsid w:val="00355F0D"/>
    <w:rsid w:val="00371FE2"/>
    <w:rsid w:val="003E0581"/>
    <w:rsid w:val="00402564"/>
    <w:rsid w:val="00443924"/>
    <w:rsid w:val="0048496A"/>
    <w:rsid w:val="00497728"/>
    <w:rsid w:val="00505E5A"/>
    <w:rsid w:val="00591DBC"/>
    <w:rsid w:val="005B6F9A"/>
    <w:rsid w:val="006664F7"/>
    <w:rsid w:val="006D3801"/>
    <w:rsid w:val="00746C2B"/>
    <w:rsid w:val="008077C6"/>
    <w:rsid w:val="00812CB9"/>
    <w:rsid w:val="0085516E"/>
    <w:rsid w:val="008960C0"/>
    <w:rsid w:val="008B3242"/>
    <w:rsid w:val="008D5398"/>
    <w:rsid w:val="009374D5"/>
    <w:rsid w:val="009747FB"/>
    <w:rsid w:val="009854C3"/>
    <w:rsid w:val="00986684"/>
    <w:rsid w:val="00995DDE"/>
    <w:rsid w:val="009F09DC"/>
    <w:rsid w:val="009F5EBF"/>
    <w:rsid w:val="00A07C0B"/>
    <w:rsid w:val="00A2709A"/>
    <w:rsid w:val="00A7247E"/>
    <w:rsid w:val="00AB404F"/>
    <w:rsid w:val="00AD1E5B"/>
    <w:rsid w:val="00AF76D5"/>
    <w:rsid w:val="00B112CC"/>
    <w:rsid w:val="00B25454"/>
    <w:rsid w:val="00B5509F"/>
    <w:rsid w:val="00B627F0"/>
    <w:rsid w:val="00B773CA"/>
    <w:rsid w:val="00B864D1"/>
    <w:rsid w:val="00B933A8"/>
    <w:rsid w:val="00BE5840"/>
    <w:rsid w:val="00C1141B"/>
    <w:rsid w:val="00C21C7D"/>
    <w:rsid w:val="00C271B3"/>
    <w:rsid w:val="00C4474C"/>
    <w:rsid w:val="00C577E0"/>
    <w:rsid w:val="00C60A92"/>
    <w:rsid w:val="00C85E45"/>
    <w:rsid w:val="00C9335A"/>
    <w:rsid w:val="00CC2ED4"/>
    <w:rsid w:val="00D00D8B"/>
    <w:rsid w:val="00D04F0B"/>
    <w:rsid w:val="00D9148E"/>
    <w:rsid w:val="00DE6E35"/>
    <w:rsid w:val="00E046F8"/>
    <w:rsid w:val="00E319D3"/>
    <w:rsid w:val="00E7764F"/>
    <w:rsid w:val="00F4004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6F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509F"/>
    <w:pPr>
      <w:ind w:left="720"/>
      <w:contextualSpacing/>
    </w:pPr>
  </w:style>
  <w:style w:type="character" w:styleId="Hyperlink">
    <w:name w:val="Hyperlink"/>
    <w:basedOn w:val="DefaultParagraphFont"/>
    <w:uiPriority w:val="99"/>
    <w:unhideWhenUsed/>
    <w:rsid w:val="00DE6E35"/>
    <w:rPr>
      <w:color w:val="0000FF" w:themeColor="hyperlink"/>
      <w:u w:val="single"/>
    </w:rPr>
  </w:style>
  <w:style w:type="paragraph" w:styleId="NormalWeb">
    <w:name w:val="Normal (Web)"/>
    <w:basedOn w:val="Normal"/>
    <w:uiPriority w:val="99"/>
    <w:semiHidden/>
    <w:unhideWhenUsed/>
    <w:rsid w:val="00140EDB"/>
    <w:pPr>
      <w:spacing w:before="100" w:beforeAutospacing="1" w:after="100" w:afterAutospacing="1"/>
    </w:pPr>
    <w:rPr>
      <w:rFonts w:eastAsia="Times New Roman" w:cs="Times New Roman"/>
      <w:szCs w:val="24"/>
      <w:lang w:eastAsia="en-IE"/>
    </w:rPr>
  </w:style>
  <w:style w:type="paragraph" w:styleId="BalloonText">
    <w:name w:val="Balloon Text"/>
    <w:basedOn w:val="Normal"/>
    <w:link w:val="BalloonTextChar"/>
    <w:uiPriority w:val="99"/>
    <w:semiHidden/>
    <w:unhideWhenUsed/>
    <w:rsid w:val="00986684"/>
    <w:rPr>
      <w:rFonts w:ascii="Tahoma" w:hAnsi="Tahoma" w:cs="Tahoma"/>
      <w:sz w:val="16"/>
      <w:szCs w:val="16"/>
    </w:rPr>
  </w:style>
  <w:style w:type="character" w:customStyle="1" w:styleId="BalloonTextChar">
    <w:name w:val="Balloon Text Char"/>
    <w:basedOn w:val="DefaultParagraphFont"/>
    <w:link w:val="BalloonText"/>
    <w:uiPriority w:val="99"/>
    <w:semiHidden/>
    <w:rsid w:val="00986684"/>
    <w:rPr>
      <w:rFonts w:ascii="Tahoma" w:hAnsi="Tahoma" w:cs="Tahoma"/>
      <w:sz w:val="16"/>
      <w:szCs w:val="16"/>
    </w:rPr>
  </w:style>
  <w:style w:type="paragraph" w:styleId="Header">
    <w:name w:val="header"/>
    <w:basedOn w:val="Normal"/>
    <w:link w:val="HeaderChar"/>
    <w:uiPriority w:val="99"/>
    <w:semiHidden/>
    <w:unhideWhenUsed/>
    <w:rsid w:val="00C60A92"/>
    <w:pPr>
      <w:tabs>
        <w:tab w:val="center" w:pos="4513"/>
        <w:tab w:val="right" w:pos="9026"/>
      </w:tabs>
    </w:pPr>
  </w:style>
  <w:style w:type="character" w:customStyle="1" w:styleId="HeaderChar">
    <w:name w:val="Header Char"/>
    <w:basedOn w:val="DefaultParagraphFont"/>
    <w:link w:val="Header"/>
    <w:uiPriority w:val="99"/>
    <w:semiHidden/>
    <w:rsid w:val="00C60A92"/>
    <w:rPr>
      <w:rFonts w:ascii="Times New Roman" w:hAnsi="Times New Roman"/>
      <w:sz w:val="24"/>
    </w:rPr>
  </w:style>
  <w:style w:type="paragraph" w:styleId="Footer">
    <w:name w:val="footer"/>
    <w:basedOn w:val="Normal"/>
    <w:link w:val="FooterChar"/>
    <w:uiPriority w:val="99"/>
    <w:semiHidden/>
    <w:unhideWhenUsed/>
    <w:rsid w:val="00C60A92"/>
    <w:pPr>
      <w:tabs>
        <w:tab w:val="center" w:pos="4513"/>
        <w:tab w:val="right" w:pos="9026"/>
      </w:tabs>
    </w:pPr>
  </w:style>
  <w:style w:type="character" w:customStyle="1" w:styleId="FooterChar">
    <w:name w:val="Footer Char"/>
    <w:basedOn w:val="DefaultParagraphFont"/>
    <w:link w:val="Footer"/>
    <w:uiPriority w:val="99"/>
    <w:semiHidden/>
    <w:rsid w:val="00C60A92"/>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6F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509F"/>
    <w:pPr>
      <w:ind w:left="720"/>
      <w:contextualSpacing/>
    </w:pPr>
  </w:style>
  <w:style w:type="character" w:styleId="Hyperlink">
    <w:name w:val="Hyperlink"/>
    <w:basedOn w:val="DefaultParagraphFont"/>
    <w:uiPriority w:val="99"/>
    <w:unhideWhenUsed/>
    <w:rsid w:val="00DE6E35"/>
    <w:rPr>
      <w:color w:val="0000FF" w:themeColor="hyperlink"/>
      <w:u w:val="single"/>
    </w:rPr>
  </w:style>
  <w:style w:type="paragraph" w:styleId="NormalWeb">
    <w:name w:val="Normal (Web)"/>
    <w:basedOn w:val="Normal"/>
    <w:uiPriority w:val="99"/>
    <w:semiHidden/>
    <w:unhideWhenUsed/>
    <w:rsid w:val="00140EDB"/>
    <w:pPr>
      <w:spacing w:before="100" w:beforeAutospacing="1" w:after="100" w:afterAutospacing="1"/>
    </w:pPr>
    <w:rPr>
      <w:rFonts w:eastAsia="Times New Roman" w:cs="Times New Roman"/>
      <w:szCs w:val="24"/>
      <w:lang w:eastAsia="en-IE"/>
    </w:rPr>
  </w:style>
  <w:style w:type="paragraph" w:styleId="BalloonText">
    <w:name w:val="Balloon Text"/>
    <w:basedOn w:val="Normal"/>
    <w:link w:val="BalloonTextChar"/>
    <w:uiPriority w:val="99"/>
    <w:semiHidden/>
    <w:unhideWhenUsed/>
    <w:rsid w:val="00986684"/>
    <w:rPr>
      <w:rFonts w:ascii="Tahoma" w:hAnsi="Tahoma" w:cs="Tahoma"/>
      <w:sz w:val="16"/>
      <w:szCs w:val="16"/>
    </w:rPr>
  </w:style>
  <w:style w:type="character" w:customStyle="1" w:styleId="BalloonTextChar">
    <w:name w:val="Balloon Text Char"/>
    <w:basedOn w:val="DefaultParagraphFont"/>
    <w:link w:val="BalloonText"/>
    <w:uiPriority w:val="99"/>
    <w:semiHidden/>
    <w:rsid w:val="00986684"/>
    <w:rPr>
      <w:rFonts w:ascii="Tahoma" w:hAnsi="Tahoma" w:cs="Tahoma"/>
      <w:sz w:val="16"/>
      <w:szCs w:val="16"/>
    </w:rPr>
  </w:style>
  <w:style w:type="paragraph" w:styleId="Header">
    <w:name w:val="header"/>
    <w:basedOn w:val="Normal"/>
    <w:link w:val="HeaderChar"/>
    <w:uiPriority w:val="99"/>
    <w:semiHidden/>
    <w:unhideWhenUsed/>
    <w:rsid w:val="00C60A92"/>
    <w:pPr>
      <w:tabs>
        <w:tab w:val="center" w:pos="4513"/>
        <w:tab w:val="right" w:pos="9026"/>
      </w:tabs>
    </w:pPr>
  </w:style>
  <w:style w:type="character" w:customStyle="1" w:styleId="HeaderChar">
    <w:name w:val="Header Char"/>
    <w:basedOn w:val="DefaultParagraphFont"/>
    <w:link w:val="Header"/>
    <w:uiPriority w:val="99"/>
    <w:semiHidden/>
    <w:rsid w:val="00C60A92"/>
    <w:rPr>
      <w:rFonts w:ascii="Times New Roman" w:hAnsi="Times New Roman"/>
      <w:sz w:val="24"/>
    </w:rPr>
  </w:style>
  <w:style w:type="paragraph" w:styleId="Footer">
    <w:name w:val="footer"/>
    <w:basedOn w:val="Normal"/>
    <w:link w:val="FooterChar"/>
    <w:uiPriority w:val="99"/>
    <w:semiHidden/>
    <w:unhideWhenUsed/>
    <w:rsid w:val="00C60A92"/>
    <w:pPr>
      <w:tabs>
        <w:tab w:val="center" w:pos="4513"/>
        <w:tab w:val="right" w:pos="9026"/>
      </w:tabs>
    </w:pPr>
  </w:style>
  <w:style w:type="character" w:customStyle="1" w:styleId="FooterChar">
    <w:name w:val="Footer Char"/>
    <w:basedOn w:val="DefaultParagraphFont"/>
    <w:link w:val="Footer"/>
    <w:uiPriority w:val="99"/>
    <w:semiHidden/>
    <w:rsid w:val="00C60A9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3853">
      <w:bodyDiv w:val="1"/>
      <w:marLeft w:val="0"/>
      <w:marRight w:val="0"/>
      <w:marTop w:val="0"/>
      <w:marBottom w:val="0"/>
      <w:divBdr>
        <w:top w:val="none" w:sz="0" w:space="0" w:color="auto"/>
        <w:left w:val="none" w:sz="0" w:space="0" w:color="auto"/>
        <w:bottom w:val="none" w:sz="0" w:space="0" w:color="auto"/>
        <w:right w:val="none" w:sz="0" w:space="0" w:color="auto"/>
      </w:divBdr>
      <w:divsChild>
        <w:div w:id="379548673">
          <w:marLeft w:val="0"/>
          <w:marRight w:val="0"/>
          <w:marTop w:val="0"/>
          <w:marBottom w:val="0"/>
          <w:divBdr>
            <w:top w:val="none" w:sz="0" w:space="0" w:color="auto"/>
            <w:left w:val="none" w:sz="0" w:space="0" w:color="auto"/>
            <w:bottom w:val="none" w:sz="0" w:space="0" w:color="auto"/>
            <w:right w:val="none" w:sz="0" w:space="0" w:color="auto"/>
          </w:divBdr>
          <w:divsChild>
            <w:div w:id="124785536">
              <w:marLeft w:val="0"/>
              <w:marRight w:val="0"/>
              <w:marTop w:val="0"/>
              <w:marBottom w:val="0"/>
              <w:divBdr>
                <w:top w:val="none" w:sz="0" w:space="0" w:color="auto"/>
                <w:left w:val="none" w:sz="0" w:space="0" w:color="auto"/>
                <w:bottom w:val="none" w:sz="0" w:space="0" w:color="auto"/>
                <w:right w:val="none" w:sz="0" w:space="0" w:color="auto"/>
              </w:divBdr>
              <w:divsChild>
                <w:div w:id="284972055">
                  <w:marLeft w:val="0"/>
                  <w:marRight w:val="0"/>
                  <w:marTop w:val="0"/>
                  <w:marBottom w:val="0"/>
                  <w:divBdr>
                    <w:top w:val="none" w:sz="0" w:space="0" w:color="auto"/>
                    <w:left w:val="none" w:sz="0" w:space="0" w:color="auto"/>
                    <w:bottom w:val="none" w:sz="0" w:space="0" w:color="auto"/>
                    <w:right w:val="none" w:sz="0" w:space="0" w:color="auto"/>
                  </w:divBdr>
                  <w:divsChild>
                    <w:div w:id="168428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090447">
      <w:bodyDiv w:val="1"/>
      <w:marLeft w:val="0"/>
      <w:marRight w:val="0"/>
      <w:marTop w:val="0"/>
      <w:marBottom w:val="0"/>
      <w:divBdr>
        <w:top w:val="none" w:sz="0" w:space="0" w:color="auto"/>
        <w:left w:val="none" w:sz="0" w:space="0" w:color="auto"/>
        <w:bottom w:val="none" w:sz="0" w:space="0" w:color="auto"/>
        <w:right w:val="none" w:sz="0" w:space="0" w:color="auto"/>
      </w:divBdr>
      <w:divsChild>
        <w:div w:id="129834857">
          <w:marLeft w:val="0"/>
          <w:marRight w:val="0"/>
          <w:marTop w:val="0"/>
          <w:marBottom w:val="0"/>
          <w:divBdr>
            <w:top w:val="none" w:sz="0" w:space="0" w:color="auto"/>
            <w:left w:val="none" w:sz="0" w:space="0" w:color="auto"/>
            <w:bottom w:val="none" w:sz="0" w:space="0" w:color="auto"/>
            <w:right w:val="none" w:sz="0" w:space="0" w:color="auto"/>
          </w:divBdr>
          <w:divsChild>
            <w:div w:id="1749956625">
              <w:marLeft w:val="0"/>
              <w:marRight w:val="0"/>
              <w:marTop w:val="0"/>
              <w:marBottom w:val="0"/>
              <w:divBdr>
                <w:top w:val="none" w:sz="0" w:space="0" w:color="auto"/>
                <w:left w:val="none" w:sz="0" w:space="0" w:color="auto"/>
                <w:bottom w:val="none" w:sz="0" w:space="0" w:color="auto"/>
                <w:right w:val="none" w:sz="0" w:space="0" w:color="auto"/>
              </w:divBdr>
              <w:divsChild>
                <w:div w:id="1433354077">
                  <w:marLeft w:val="0"/>
                  <w:marRight w:val="0"/>
                  <w:marTop w:val="0"/>
                  <w:marBottom w:val="0"/>
                  <w:divBdr>
                    <w:top w:val="none" w:sz="0" w:space="0" w:color="auto"/>
                    <w:left w:val="none" w:sz="0" w:space="0" w:color="auto"/>
                    <w:bottom w:val="none" w:sz="0" w:space="0" w:color="auto"/>
                    <w:right w:val="none" w:sz="0" w:space="0" w:color="auto"/>
                  </w:divBdr>
                  <w:divsChild>
                    <w:div w:id="88087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811727">
      <w:bodyDiv w:val="1"/>
      <w:marLeft w:val="0"/>
      <w:marRight w:val="0"/>
      <w:marTop w:val="0"/>
      <w:marBottom w:val="0"/>
      <w:divBdr>
        <w:top w:val="none" w:sz="0" w:space="0" w:color="auto"/>
        <w:left w:val="none" w:sz="0" w:space="0" w:color="auto"/>
        <w:bottom w:val="none" w:sz="0" w:space="0" w:color="auto"/>
        <w:right w:val="none" w:sz="0" w:space="0" w:color="auto"/>
      </w:divBdr>
      <w:divsChild>
        <w:div w:id="881984751">
          <w:marLeft w:val="0"/>
          <w:marRight w:val="0"/>
          <w:marTop w:val="0"/>
          <w:marBottom w:val="0"/>
          <w:divBdr>
            <w:top w:val="none" w:sz="0" w:space="0" w:color="auto"/>
            <w:left w:val="none" w:sz="0" w:space="0" w:color="auto"/>
            <w:bottom w:val="none" w:sz="0" w:space="0" w:color="auto"/>
            <w:right w:val="none" w:sz="0" w:space="0" w:color="auto"/>
          </w:divBdr>
          <w:divsChild>
            <w:div w:id="680550415">
              <w:marLeft w:val="0"/>
              <w:marRight w:val="0"/>
              <w:marTop w:val="0"/>
              <w:marBottom w:val="0"/>
              <w:divBdr>
                <w:top w:val="none" w:sz="0" w:space="0" w:color="auto"/>
                <w:left w:val="none" w:sz="0" w:space="0" w:color="auto"/>
                <w:bottom w:val="none" w:sz="0" w:space="0" w:color="auto"/>
                <w:right w:val="none" w:sz="0" w:space="0" w:color="auto"/>
              </w:divBdr>
              <w:divsChild>
                <w:div w:id="815681115">
                  <w:marLeft w:val="0"/>
                  <w:marRight w:val="0"/>
                  <w:marTop w:val="0"/>
                  <w:marBottom w:val="0"/>
                  <w:divBdr>
                    <w:top w:val="none" w:sz="0" w:space="0" w:color="auto"/>
                    <w:left w:val="none" w:sz="0" w:space="0" w:color="auto"/>
                    <w:bottom w:val="none" w:sz="0" w:space="0" w:color="auto"/>
                    <w:right w:val="none" w:sz="0" w:space="0" w:color="auto"/>
                  </w:divBdr>
                  <w:divsChild>
                    <w:div w:id="71932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312335">
      <w:bodyDiv w:val="1"/>
      <w:marLeft w:val="0"/>
      <w:marRight w:val="0"/>
      <w:marTop w:val="0"/>
      <w:marBottom w:val="0"/>
      <w:divBdr>
        <w:top w:val="none" w:sz="0" w:space="0" w:color="auto"/>
        <w:left w:val="none" w:sz="0" w:space="0" w:color="auto"/>
        <w:bottom w:val="none" w:sz="0" w:space="0" w:color="auto"/>
        <w:right w:val="none" w:sz="0" w:space="0" w:color="auto"/>
      </w:divBdr>
      <w:divsChild>
        <w:div w:id="2025472820">
          <w:marLeft w:val="0"/>
          <w:marRight w:val="0"/>
          <w:marTop w:val="0"/>
          <w:marBottom w:val="0"/>
          <w:divBdr>
            <w:top w:val="none" w:sz="0" w:space="0" w:color="auto"/>
            <w:left w:val="none" w:sz="0" w:space="0" w:color="auto"/>
            <w:bottom w:val="none" w:sz="0" w:space="0" w:color="auto"/>
            <w:right w:val="none" w:sz="0" w:space="0" w:color="auto"/>
          </w:divBdr>
          <w:divsChild>
            <w:div w:id="124472258">
              <w:marLeft w:val="0"/>
              <w:marRight w:val="0"/>
              <w:marTop w:val="0"/>
              <w:marBottom w:val="0"/>
              <w:divBdr>
                <w:top w:val="none" w:sz="0" w:space="0" w:color="auto"/>
                <w:left w:val="none" w:sz="0" w:space="0" w:color="auto"/>
                <w:bottom w:val="none" w:sz="0" w:space="0" w:color="auto"/>
                <w:right w:val="none" w:sz="0" w:space="0" w:color="auto"/>
              </w:divBdr>
              <w:divsChild>
                <w:div w:id="1943564212">
                  <w:marLeft w:val="0"/>
                  <w:marRight w:val="0"/>
                  <w:marTop w:val="0"/>
                  <w:marBottom w:val="0"/>
                  <w:divBdr>
                    <w:top w:val="none" w:sz="0" w:space="0" w:color="auto"/>
                    <w:left w:val="none" w:sz="0" w:space="0" w:color="auto"/>
                    <w:bottom w:val="none" w:sz="0" w:space="0" w:color="auto"/>
                    <w:right w:val="none" w:sz="0" w:space="0" w:color="auto"/>
                  </w:divBdr>
                  <w:divsChild>
                    <w:div w:id="31209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750411">
      <w:bodyDiv w:val="1"/>
      <w:marLeft w:val="0"/>
      <w:marRight w:val="0"/>
      <w:marTop w:val="0"/>
      <w:marBottom w:val="0"/>
      <w:divBdr>
        <w:top w:val="none" w:sz="0" w:space="0" w:color="auto"/>
        <w:left w:val="none" w:sz="0" w:space="0" w:color="auto"/>
        <w:bottom w:val="none" w:sz="0" w:space="0" w:color="auto"/>
        <w:right w:val="none" w:sz="0" w:space="0" w:color="auto"/>
      </w:divBdr>
      <w:divsChild>
        <w:div w:id="527106871">
          <w:marLeft w:val="0"/>
          <w:marRight w:val="0"/>
          <w:marTop w:val="0"/>
          <w:marBottom w:val="0"/>
          <w:divBdr>
            <w:top w:val="none" w:sz="0" w:space="0" w:color="auto"/>
            <w:left w:val="none" w:sz="0" w:space="0" w:color="auto"/>
            <w:bottom w:val="none" w:sz="0" w:space="0" w:color="auto"/>
            <w:right w:val="none" w:sz="0" w:space="0" w:color="auto"/>
          </w:divBdr>
          <w:divsChild>
            <w:div w:id="703821880">
              <w:marLeft w:val="0"/>
              <w:marRight w:val="0"/>
              <w:marTop w:val="0"/>
              <w:marBottom w:val="0"/>
              <w:divBdr>
                <w:top w:val="none" w:sz="0" w:space="0" w:color="auto"/>
                <w:left w:val="none" w:sz="0" w:space="0" w:color="auto"/>
                <w:bottom w:val="none" w:sz="0" w:space="0" w:color="auto"/>
                <w:right w:val="none" w:sz="0" w:space="0" w:color="auto"/>
              </w:divBdr>
              <w:divsChild>
                <w:div w:id="197864842">
                  <w:marLeft w:val="0"/>
                  <w:marRight w:val="0"/>
                  <w:marTop w:val="0"/>
                  <w:marBottom w:val="0"/>
                  <w:divBdr>
                    <w:top w:val="none" w:sz="0" w:space="0" w:color="auto"/>
                    <w:left w:val="none" w:sz="0" w:space="0" w:color="auto"/>
                    <w:bottom w:val="none" w:sz="0" w:space="0" w:color="auto"/>
                    <w:right w:val="none" w:sz="0" w:space="0" w:color="auto"/>
                  </w:divBdr>
                  <w:divsChild>
                    <w:div w:id="30192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alaidboard.ie"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galaidboard.i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B5EDA5E8</Template>
  <TotalTime>0</TotalTime>
  <Pages>3</Pages>
  <Words>912</Words>
  <Characters>5201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2019-03-13T15:51:00Z</dcterms:created>
  <dcterms:modified xsi:type="dcterms:W3CDTF">2019-03-13T15:51:00Z</dcterms:modified>
</cp:coreProperties>
</file>