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11" w:rsidRPr="00222ECD" w:rsidRDefault="00046C11" w:rsidP="002726BA">
      <w:pPr>
        <w:autoSpaceDE w:val="0"/>
        <w:autoSpaceDN w:val="0"/>
        <w:adjustRightInd w:val="0"/>
        <w:rPr>
          <w:b/>
          <w:bCs/>
        </w:rPr>
      </w:pPr>
      <w:bookmarkStart w:id="0" w:name="_GoBack"/>
      <w:bookmarkEnd w:id="0"/>
      <w:r>
        <w:rPr>
          <w:b/>
          <w:bCs/>
        </w:rPr>
        <w:t xml:space="preserve">BROȘURA Nr. 6 - VIOLENȚA DOMESTICĂ </w:t>
      </w:r>
    </w:p>
    <w:p w:rsidR="00B8286B" w:rsidRDefault="00B8286B" w:rsidP="002726BA">
      <w:pPr>
        <w:autoSpaceDE w:val="0"/>
        <w:autoSpaceDN w:val="0"/>
        <w:adjustRightInd w:val="0"/>
        <w:rPr>
          <w:b/>
          <w:bCs/>
        </w:rPr>
      </w:pPr>
    </w:p>
    <w:tbl>
      <w:tblPr>
        <w:tblStyle w:val="TableGrid"/>
        <w:tblW w:w="0" w:type="auto"/>
        <w:tblLook w:val="04A0" w:firstRow="1" w:lastRow="0" w:firstColumn="1" w:lastColumn="0" w:noHBand="0" w:noVBand="1"/>
      </w:tblPr>
      <w:tblGrid>
        <w:gridCol w:w="8856"/>
      </w:tblGrid>
      <w:tr w:rsidR="00941427" w:rsidTr="00941427">
        <w:tc>
          <w:tcPr>
            <w:tcW w:w="8856" w:type="dxa"/>
          </w:tcPr>
          <w:p w:rsidR="00941427" w:rsidRPr="00941427" w:rsidRDefault="00941427" w:rsidP="00941427">
            <w:pPr>
              <w:autoSpaceDE w:val="0"/>
              <w:autoSpaceDN w:val="0"/>
              <w:adjustRightInd w:val="0"/>
              <w:rPr>
                <w:b/>
              </w:rPr>
            </w:pPr>
            <w:r>
              <w:rPr>
                <w:b/>
              </w:rPr>
              <w:t>Violența domestică este violența de ordin fizic, sexual, emoțional sau psihologic, care amenință siguranța sau bunăstarea membrilor familiei și anumite persoane în alte relații domestice.</w:t>
            </w:r>
          </w:p>
          <w:p w:rsidR="00941427" w:rsidRDefault="00941427" w:rsidP="002726BA">
            <w:pPr>
              <w:autoSpaceDE w:val="0"/>
              <w:autoSpaceDN w:val="0"/>
              <w:adjustRightInd w:val="0"/>
              <w:rPr>
                <w:b/>
                <w:bCs/>
              </w:rPr>
            </w:pPr>
          </w:p>
          <w:p w:rsidR="00941427" w:rsidRDefault="00941427" w:rsidP="002726BA">
            <w:pPr>
              <w:autoSpaceDE w:val="0"/>
              <w:autoSpaceDN w:val="0"/>
              <w:adjustRightInd w:val="0"/>
              <w:rPr>
                <w:b/>
                <w:bCs/>
              </w:rPr>
            </w:pPr>
            <w:r>
              <w:rPr>
                <w:b/>
                <w:bCs/>
              </w:rPr>
              <w:t>Dacă dvs. sau copiii dvs. sunteți amenințați cu violența domestică, puteți raporta persoana violentă către Garda Síochána. De asemenea, puteți solicita instanței să emită un ordin de siguranță, un ordin de protecție, un ordin urgent de interdicție, un ordin intermediar de interdicție sau un ordin de interdicție.</w:t>
            </w:r>
          </w:p>
          <w:p w:rsidR="00941427" w:rsidRDefault="00941427" w:rsidP="002726BA">
            <w:pPr>
              <w:autoSpaceDE w:val="0"/>
              <w:autoSpaceDN w:val="0"/>
              <w:adjustRightInd w:val="0"/>
              <w:rPr>
                <w:b/>
                <w:bCs/>
              </w:rPr>
            </w:pPr>
          </w:p>
        </w:tc>
      </w:tr>
    </w:tbl>
    <w:p w:rsidR="00941427" w:rsidRDefault="00941427" w:rsidP="002726BA">
      <w:pPr>
        <w:autoSpaceDE w:val="0"/>
        <w:autoSpaceDN w:val="0"/>
        <w:adjustRightInd w:val="0"/>
        <w:rPr>
          <w:b/>
          <w:bCs/>
        </w:rPr>
      </w:pPr>
    </w:p>
    <w:p w:rsidR="00941427" w:rsidRPr="00222ECD" w:rsidRDefault="00941427" w:rsidP="002726BA">
      <w:pPr>
        <w:autoSpaceDE w:val="0"/>
        <w:autoSpaceDN w:val="0"/>
        <w:adjustRightInd w:val="0"/>
        <w:rPr>
          <w:b/>
          <w:bCs/>
        </w:rPr>
      </w:pPr>
    </w:p>
    <w:p w:rsidR="00740C21" w:rsidRPr="00222ECD" w:rsidRDefault="00740C21" w:rsidP="002726BA">
      <w:pPr>
        <w:autoSpaceDE w:val="0"/>
        <w:autoSpaceDN w:val="0"/>
        <w:adjustRightInd w:val="0"/>
        <w:rPr>
          <w:b/>
          <w:bCs/>
        </w:rPr>
      </w:pPr>
      <w:r>
        <w:rPr>
          <w:b/>
          <w:bCs/>
        </w:rPr>
        <w:t>Ce este violența domestică?</w:t>
      </w:r>
    </w:p>
    <w:p w:rsidR="00046C11" w:rsidRPr="00222ECD" w:rsidRDefault="00046C11" w:rsidP="002726BA">
      <w:pPr>
        <w:autoSpaceDE w:val="0"/>
        <w:autoSpaceDN w:val="0"/>
        <w:adjustRightInd w:val="0"/>
      </w:pPr>
      <w:r>
        <w:t>Violența domestică este violența de ordin fizic, sexual, emoțional sau psihologic, care amenință siguranța sau bunăstarea membrilor familiei și anumite persoane în alte relații domestice.</w:t>
      </w:r>
    </w:p>
    <w:p w:rsidR="00046C11" w:rsidRPr="00222ECD" w:rsidRDefault="00046C11" w:rsidP="002726BA">
      <w:pPr>
        <w:autoSpaceDE w:val="0"/>
        <w:autoSpaceDN w:val="0"/>
        <w:adjustRightInd w:val="0"/>
      </w:pPr>
    </w:p>
    <w:p w:rsidR="009743C4" w:rsidRPr="00222ECD" w:rsidRDefault="009743C4" w:rsidP="009743C4">
      <w:pPr>
        <w:autoSpaceDE w:val="0"/>
        <w:autoSpaceDN w:val="0"/>
        <w:adjustRightInd w:val="0"/>
        <w:rPr>
          <w:b/>
          <w:bCs/>
        </w:rPr>
      </w:pPr>
      <w:r>
        <w:rPr>
          <w:b/>
          <w:bCs/>
        </w:rPr>
        <w:t>Eu și/sau copiii mei putem fi protejați împotriva unei persoane violente din</w:t>
      </w:r>
      <w:r>
        <w:t xml:space="preserve"> </w:t>
      </w:r>
      <w:r>
        <w:rPr>
          <w:b/>
          <w:bCs/>
        </w:rPr>
        <w:t>locuința noastră?</w:t>
      </w:r>
    </w:p>
    <w:p w:rsidR="009743C4" w:rsidRPr="00222ECD" w:rsidRDefault="009743C4" w:rsidP="009743C4">
      <w:pPr>
        <w:autoSpaceDE w:val="0"/>
        <w:autoSpaceDN w:val="0"/>
        <w:adjustRightInd w:val="0"/>
        <w:rPr>
          <w:bCs/>
        </w:rPr>
      </w:pPr>
      <w:r>
        <w:t>Da, puteți fi protejați:</w:t>
      </w:r>
    </w:p>
    <w:p w:rsidR="009743C4" w:rsidRPr="000E03CD" w:rsidRDefault="009743C4" w:rsidP="009743C4">
      <w:pPr>
        <w:autoSpaceDE w:val="0"/>
        <w:autoSpaceDN w:val="0"/>
        <w:adjustRightInd w:val="0"/>
        <w:rPr>
          <w:bCs/>
        </w:rPr>
      </w:pPr>
      <w:r>
        <w:t xml:space="preserve">1.  Raportați cazul către agenții Garda. Violența de ordin fizic și/sau sexual constituie infracțiune. Agenții Garda au </w:t>
      </w:r>
      <w:r>
        <w:rPr>
          <w:b/>
          <w:bCs/>
        </w:rPr>
        <w:t xml:space="preserve">autoritatea de a aresta și de a pune sub acuzare o </w:t>
      </w:r>
      <w:r>
        <w:t>persoană violentă.</w:t>
      </w:r>
    </w:p>
    <w:p w:rsidR="00941427" w:rsidRDefault="00941427" w:rsidP="009743C4">
      <w:pPr>
        <w:autoSpaceDE w:val="0"/>
        <w:autoSpaceDN w:val="0"/>
        <w:adjustRightInd w:val="0"/>
        <w:rPr>
          <w:bCs/>
        </w:rPr>
      </w:pPr>
    </w:p>
    <w:p w:rsidR="009743C4" w:rsidRPr="000E03CD" w:rsidRDefault="009743C4" w:rsidP="009743C4">
      <w:pPr>
        <w:autoSpaceDE w:val="0"/>
        <w:autoSpaceDN w:val="0"/>
        <w:adjustRightInd w:val="0"/>
        <w:rPr>
          <w:b/>
        </w:rPr>
      </w:pPr>
      <w:r>
        <w:t>2.  Solicitați instanței să emită ordine conform legislației privind violența</w:t>
      </w:r>
      <w:r>
        <w:rPr>
          <w:b/>
          <w:bCs/>
        </w:rPr>
        <w:t xml:space="preserve"> </w:t>
      </w:r>
      <w:r>
        <w:t>domestică.</w:t>
      </w:r>
      <w:r>
        <w:rPr>
          <w:b/>
          <w:bCs/>
        </w:rPr>
        <w:t xml:space="preserve"> </w:t>
      </w:r>
      <w:r>
        <w:t>O instanță poate acorda ordine de protecție, de interdicție și / sau siguranță împotriva unui soț/unei soții sau a unui partener, inclusiv în cazul în care persoanele nu locuiesc împreună. Aceste ordine sunt emise când este necesară protejarea bunăstării sau a siguranței celuilalt soț / partener și / sau a copiilor aflați în întreținere.</w:t>
      </w:r>
    </w:p>
    <w:p w:rsidR="009743C4" w:rsidRPr="000E03CD" w:rsidRDefault="009743C4" w:rsidP="002726BA">
      <w:pPr>
        <w:autoSpaceDE w:val="0"/>
        <w:autoSpaceDN w:val="0"/>
        <w:adjustRightInd w:val="0"/>
      </w:pPr>
    </w:p>
    <w:p w:rsidR="00740C21" w:rsidRPr="000E03CD" w:rsidRDefault="00740C21" w:rsidP="002726BA">
      <w:pPr>
        <w:autoSpaceDE w:val="0"/>
        <w:autoSpaceDN w:val="0"/>
        <w:adjustRightInd w:val="0"/>
        <w:rPr>
          <w:b/>
        </w:rPr>
      </w:pPr>
      <w:r>
        <w:rPr>
          <w:b/>
        </w:rPr>
        <w:t>Ce tip de protecție este disponibilă conform legislației privind violența domestică?</w:t>
      </w:r>
    </w:p>
    <w:p w:rsidR="00466CF7" w:rsidRPr="000E03CD" w:rsidRDefault="00046C11" w:rsidP="002726BA">
      <w:pPr>
        <w:autoSpaceDE w:val="0"/>
        <w:autoSpaceDN w:val="0"/>
        <w:adjustRightInd w:val="0"/>
      </w:pPr>
      <w:r>
        <w:t xml:space="preserve">Există cinci tipuri principale de protecție disponibile din partea instanței:                                  </w:t>
      </w:r>
    </w:p>
    <w:p w:rsidR="00046C11" w:rsidRPr="000E03CD" w:rsidRDefault="00C16A90" w:rsidP="00EE4DBA">
      <w:pPr>
        <w:numPr>
          <w:ilvl w:val="0"/>
          <w:numId w:val="3"/>
        </w:numPr>
        <w:tabs>
          <w:tab w:val="clear" w:pos="341"/>
          <w:tab w:val="num" w:pos="709"/>
        </w:tabs>
        <w:autoSpaceDE w:val="0"/>
        <w:autoSpaceDN w:val="0"/>
        <w:adjustRightInd w:val="0"/>
        <w:ind w:left="709" w:hanging="283"/>
        <w:rPr>
          <w:b/>
        </w:rPr>
      </w:pPr>
      <w:r>
        <w:rPr>
          <w:b/>
        </w:rPr>
        <w:t xml:space="preserve">Ordinul de siguranță - </w:t>
      </w:r>
    </w:p>
    <w:p w:rsidR="00466CF7" w:rsidRPr="000E03CD" w:rsidRDefault="00466CF7" w:rsidP="00EE4DBA">
      <w:pPr>
        <w:tabs>
          <w:tab w:val="num" w:pos="709"/>
        </w:tabs>
        <w:autoSpaceDE w:val="0"/>
        <w:autoSpaceDN w:val="0"/>
        <w:adjustRightInd w:val="0"/>
        <w:ind w:left="709"/>
      </w:pPr>
      <w:r>
        <w:t xml:space="preserve">un </w:t>
      </w:r>
      <w:r>
        <w:rPr>
          <w:b/>
          <w:bCs/>
        </w:rPr>
        <w:t xml:space="preserve">ordin de siguranță </w:t>
      </w:r>
      <w:r>
        <w:t>interzice unei persoane să recurgă la sau să amenințe cu violența persoana căreia i-a fost acordat ordinul și / sau copiii aflați întreținere. Un ordin de siguranță nu îi impune unei persoane să părăsească locuința de reședință. Pentru persoanele care sunt căsătorite, nu este necesar să locuiască sau să fi locuit în trecut cu persoana respectivă pentru a solicita un ordin de siguranță.</w:t>
      </w:r>
      <w:r>
        <w:br/>
      </w:r>
    </w:p>
    <w:p w:rsidR="00951F6E" w:rsidRPr="000E03CD" w:rsidRDefault="00C16A90" w:rsidP="00EE4DBA">
      <w:pPr>
        <w:numPr>
          <w:ilvl w:val="0"/>
          <w:numId w:val="3"/>
        </w:numPr>
        <w:tabs>
          <w:tab w:val="clear" w:pos="341"/>
          <w:tab w:val="num" w:pos="709"/>
        </w:tabs>
        <w:autoSpaceDE w:val="0"/>
        <w:autoSpaceDN w:val="0"/>
        <w:adjustRightInd w:val="0"/>
        <w:ind w:left="709" w:hanging="283"/>
        <w:rPr>
          <w:b/>
        </w:rPr>
      </w:pPr>
      <w:r>
        <w:rPr>
          <w:b/>
        </w:rPr>
        <w:t>Ordinul de protecție</w:t>
      </w:r>
    </w:p>
    <w:p w:rsidR="00046C11" w:rsidRPr="000E03CD" w:rsidRDefault="00046C11" w:rsidP="00EE4DBA">
      <w:pPr>
        <w:tabs>
          <w:tab w:val="num" w:pos="709"/>
        </w:tabs>
        <w:autoSpaceDE w:val="0"/>
        <w:autoSpaceDN w:val="0"/>
        <w:adjustRightInd w:val="0"/>
        <w:ind w:left="709"/>
      </w:pPr>
      <w:r>
        <w:lastRenderedPageBreak/>
        <w:t xml:space="preserve">un </w:t>
      </w:r>
      <w:r>
        <w:rPr>
          <w:b/>
          <w:bCs/>
        </w:rPr>
        <w:t xml:space="preserve">ordin de protecție </w:t>
      </w:r>
      <w:r>
        <w:t>este un ordin temporar de siguranță care poate fi acordat de o instanță când o persoană solicită un ordin de siguranță și / sau un ordin de interdicție. Un ordin de protecție este valabil numai până la o înfățișare completă în fața instanței privind solicitarea unui ordin de siguranță și / sau a unui ordin de interdicție. Nu este necesar să locuiți sau să fi locuit în trecut cu persoana respectivă pentru a solicita un ordin de protecție.</w:t>
      </w:r>
      <w:r>
        <w:br/>
      </w:r>
    </w:p>
    <w:p w:rsidR="00C7065B" w:rsidRPr="000E03CD" w:rsidRDefault="001C1C5A" w:rsidP="00EE4DBA">
      <w:pPr>
        <w:numPr>
          <w:ilvl w:val="0"/>
          <w:numId w:val="3"/>
        </w:numPr>
        <w:tabs>
          <w:tab w:val="clear" w:pos="341"/>
          <w:tab w:val="num" w:pos="709"/>
        </w:tabs>
        <w:autoSpaceDE w:val="0"/>
        <w:autoSpaceDN w:val="0"/>
        <w:adjustRightInd w:val="0"/>
        <w:ind w:left="709" w:hanging="283"/>
        <w:rPr>
          <w:b/>
        </w:rPr>
      </w:pPr>
      <w:r>
        <w:rPr>
          <w:b/>
        </w:rPr>
        <w:t>Ordinul de interdicție</w:t>
      </w:r>
    </w:p>
    <w:p w:rsidR="00206C8D" w:rsidRPr="000E03CD" w:rsidRDefault="001C1C5A" w:rsidP="00EE4DBA">
      <w:pPr>
        <w:tabs>
          <w:tab w:val="num" w:pos="709"/>
        </w:tabs>
        <w:autoSpaceDE w:val="0"/>
        <w:autoSpaceDN w:val="0"/>
        <w:adjustRightInd w:val="0"/>
        <w:ind w:left="709"/>
      </w:pPr>
      <w:r>
        <w:t xml:space="preserve">un </w:t>
      </w:r>
      <w:r>
        <w:rPr>
          <w:b/>
        </w:rPr>
        <w:t>ordin de interdicție</w:t>
      </w:r>
      <w:r>
        <w:t xml:space="preserve"> îi impune unei persoane împotriva căreia este emis să părăsească și să păstreze distanța față de locuința (locul de reședință al) persoanei care solicită ordinul și / sau față de copiii aflați în întreținere;</w:t>
      </w:r>
      <w:r>
        <w:br/>
      </w:r>
    </w:p>
    <w:p w:rsidR="001C1C5A" w:rsidRPr="000E03CD" w:rsidRDefault="001C1C5A" w:rsidP="00EE4DBA">
      <w:pPr>
        <w:numPr>
          <w:ilvl w:val="0"/>
          <w:numId w:val="3"/>
        </w:numPr>
        <w:tabs>
          <w:tab w:val="clear" w:pos="341"/>
          <w:tab w:val="num" w:pos="709"/>
        </w:tabs>
        <w:autoSpaceDE w:val="0"/>
        <w:autoSpaceDN w:val="0"/>
        <w:adjustRightInd w:val="0"/>
        <w:ind w:left="709" w:hanging="283"/>
        <w:rPr>
          <w:b/>
        </w:rPr>
      </w:pPr>
      <w:r>
        <w:rPr>
          <w:b/>
        </w:rPr>
        <w:t>Un ordin intermediar de interdicție</w:t>
      </w:r>
    </w:p>
    <w:p w:rsidR="00C23205" w:rsidRDefault="00046C11" w:rsidP="00EE4DBA">
      <w:pPr>
        <w:tabs>
          <w:tab w:val="num" w:pos="709"/>
        </w:tabs>
        <w:autoSpaceDE w:val="0"/>
        <w:autoSpaceDN w:val="0"/>
        <w:adjustRightInd w:val="0"/>
        <w:ind w:left="709"/>
      </w:pPr>
      <w:r>
        <w:t xml:space="preserve">un </w:t>
      </w:r>
      <w:r>
        <w:rPr>
          <w:b/>
        </w:rPr>
        <w:t>ordin intermediar de interdicție</w:t>
      </w:r>
      <w:r>
        <w:t xml:space="preserve"> este un ordin temporar de interdicție. Acesta este emis numai în împrejurări excepționale, deoarece se acordă fără înștiințarea persoanei împotriva căreia a fost emis. Dacă instanța este de părere că acestea sunt motive rezonabile pentru a considera că există un risc imediat cu prejudiciu considerabil la adresa solicitantului sau a oricărei persoane în întreținere, solicitantului i se poate acorda un ordin intermediar. Un ordin intermediar emis fără înștiințarea persoanei împotriva căreia a fost emis nu poate fi valabil mai mult de opt zile. Pot fi emise alte ordine până la audierea completă a cauzei.</w:t>
      </w:r>
      <w:r>
        <w:br/>
      </w:r>
    </w:p>
    <w:p w:rsidR="000769C9" w:rsidRPr="00A024AF" w:rsidRDefault="000769C9" w:rsidP="00A024AF">
      <w:pPr>
        <w:numPr>
          <w:ilvl w:val="0"/>
          <w:numId w:val="3"/>
        </w:numPr>
        <w:tabs>
          <w:tab w:val="clear" w:pos="341"/>
          <w:tab w:val="num" w:pos="709"/>
        </w:tabs>
        <w:autoSpaceDE w:val="0"/>
        <w:autoSpaceDN w:val="0"/>
        <w:adjustRightInd w:val="0"/>
        <w:ind w:left="709" w:hanging="283"/>
        <w:rPr>
          <w:b/>
        </w:rPr>
      </w:pPr>
      <w:r>
        <w:rPr>
          <w:b/>
        </w:rPr>
        <w:t xml:space="preserve">Un ordin urgent de interdicție </w:t>
      </w:r>
    </w:p>
    <w:p w:rsidR="005775E4" w:rsidRPr="00A024AF" w:rsidRDefault="005775E4" w:rsidP="00A024AF">
      <w:pPr>
        <w:autoSpaceDE w:val="0"/>
        <w:autoSpaceDN w:val="0"/>
        <w:adjustRightInd w:val="0"/>
        <w:ind w:left="709"/>
      </w:pPr>
      <w:r>
        <w:tab/>
        <w:t>un ordin urgent de interdicție este disponibil în anumite situații pentru persoanele care locuiesc împreună și părinții copiilor adulți care nu ar putea în mod normal să solicite un ordin de interdicție/ordin intermediar de interdicție din  cauză că au mai puține drepturi de proprietate în locul de reședință decât persoana împotriva căreia este solicitat ordinul. Acesta poate fi acordat fără înștiințarea persoanei împotriva căreia a fost emis și nu poate fi valabil mai mult de opt zile.</w:t>
      </w:r>
    </w:p>
    <w:p w:rsidR="005775E4" w:rsidRPr="00A024AF" w:rsidRDefault="005775E4" w:rsidP="00A024AF"/>
    <w:p w:rsidR="005775E4" w:rsidRPr="00772ED2" w:rsidRDefault="005775E4" w:rsidP="005775E4">
      <w:r>
        <w:tab/>
        <w:t>Toate comenzile includ o interdicție cu privire la urmărirea sau comunicarea (inclusiv prin mijloace electronice) cu solicitantul sau cu persoana/copilul aflat(ă) în întreținere.</w:t>
      </w:r>
    </w:p>
    <w:p w:rsidR="00A024AF" w:rsidRDefault="00A024AF" w:rsidP="002726BA">
      <w:pPr>
        <w:autoSpaceDE w:val="0"/>
        <w:autoSpaceDN w:val="0"/>
        <w:adjustRightInd w:val="0"/>
        <w:rPr>
          <w:b/>
          <w:bCs/>
        </w:rPr>
      </w:pPr>
    </w:p>
    <w:p w:rsidR="006D56C0" w:rsidRPr="000E03CD" w:rsidRDefault="006D56C0" w:rsidP="002726BA">
      <w:pPr>
        <w:autoSpaceDE w:val="0"/>
        <w:autoSpaceDN w:val="0"/>
        <w:adjustRightInd w:val="0"/>
        <w:rPr>
          <w:b/>
          <w:bCs/>
        </w:rPr>
      </w:pPr>
      <w:r>
        <w:rPr>
          <w:b/>
          <w:bCs/>
        </w:rPr>
        <w:t>Care este valabilitatea unui ordin?</w:t>
      </w:r>
    </w:p>
    <w:p w:rsidR="002726BA" w:rsidRPr="000E03CD" w:rsidRDefault="00046C11" w:rsidP="002726BA">
      <w:pPr>
        <w:autoSpaceDE w:val="0"/>
        <w:autoSpaceDN w:val="0"/>
        <w:adjustRightInd w:val="0"/>
      </w:pPr>
      <w:r>
        <w:t>Tribunalul districtual poate să emită:</w:t>
      </w:r>
    </w:p>
    <w:p w:rsidR="006D56C0" w:rsidRPr="000E03CD" w:rsidRDefault="000209B1" w:rsidP="00EE4DBA">
      <w:pPr>
        <w:numPr>
          <w:ilvl w:val="0"/>
          <w:numId w:val="3"/>
        </w:numPr>
        <w:tabs>
          <w:tab w:val="clear" w:pos="341"/>
          <w:tab w:val="num" w:pos="709"/>
        </w:tabs>
        <w:autoSpaceDE w:val="0"/>
        <w:autoSpaceDN w:val="0"/>
        <w:adjustRightInd w:val="0"/>
        <w:ind w:left="709" w:hanging="283"/>
      </w:pPr>
      <w:r>
        <w:t xml:space="preserve">un </w:t>
      </w:r>
      <w:r>
        <w:rPr>
          <w:b/>
        </w:rPr>
        <w:t>ordin de siguranță</w:t>
      </w:r>
      <w:r>
        <w:t xml:space="preserve"> pentru orice perioadă de până la maximum cinci ani; și</w:t>
      </w:r>
    </w:p>
    <w:p w:rsidR="006D56C0" w:rsidRPr="000E03CD" w:rsidRDefault="000209B1" w:rsidP="00EE4DBA">
      <w:pPr>
        <w:numPr>
          <w:ilvl w:val="0"/>
          <w:numId w:val="3"/>
        </w:numPr>
        <w:tabs>
          <w:tab w:val="clear" w:pos="341"/>
          <w:tab w:val="num" w:pos="709"/>
        </w:tabs>
        <w:autoSpaceDE w:val="0"/>
        <w:autoSpaceDN w:val="0"/>
        <w:adjustRightInd w:val="0"/>
        <w:ind w:left="709" w:hanging="283"/>
      </w:pPr>
      <w:r>
        <w:t xml:space="preserve">un </w:t>
      </w:r>
      <w:r>
        <w:rPr>
          <w:b/>
        </w:rPr>
        <w:t>ordin de interdicție</w:t>
      </w:r>
      <w:r>
        <w:t xml:space="preserve"> pentru orice perioadă de până la trei ani.. </w:t>
      </w:r>
    </w:p>
    <w:p w:rsidR="00046C11" w:rsidRPr="000E03CD" w:rsidRDefault="00046C11" w:rsidP="002726BA">
      <w:pPr>
        <w:autoSpaceDE w:val="0"/>
        <w:autoSpaceDN w:val="0"/>
        <w:adjustRightInd w:val="0"/>
      </w:pPr>
      <w:r>
        <w:t>Aceste ordine pot fi reînnoite.</w:t>
      </w:r>
    </w:p>
    <w:p w:rsidR="009A550D" w:rsidRPr="000E03CD" w:rsidRDefault="00B961DB" w:rsidP="002726BA">
      <w:pPr>
        <w:autoSpaceDE w:val="0"/>
        <w:autoSpaceDN w:val="0"/>
        <w:adjustRightInd w:val="0"/>
      </w:pPr>
      <w:r>
        <w:t xml:space="preserve">Tribunalul districtual și Instanța regională pot emite ordine pe perioade nelimitate. </w:t>
      </w:r>
    </w:p>
    <w:p w:rsidR="00B961DB" w:rsidRPr="000E03CD" w:rsidRDefault="00B961DB" w:rsidP="002726BA">
      <w:pPr>
        <w:autoSpaceDE w:val="0"/>
        <w:autoSpaceDN w:val="0"/>
        <w:adjustRightInd w:val="0"/>
        <w:rPr>
          <w:b/>
        </w:rPr>
      </w:pPr>
    </w:p>
    <w:p w:rsidR="00046C11" w:rsidRPr="000E03CD" w:rsidRDefault="006D56C0" w:rsidP="002726BA">
      <w:pPr>
        <w:autoSpaceDE w:val="0"/>
        <w:autoSpaceDN w:val="0"/>
        <w:adjustRightInd w:val="0"/>
        <w:rPr>
          <w:b/>
          <w:bCs/>
        </w:rPr>
      </w:pPr>
      <w:r>
        <w:rPr>
          <w:b/>
          <w:bCs/>
        </w:rPr>
        <w:lastRenderedPageBreak/>
        <w:t>Cine poate solicita căi de remediere privind violența domestică?</w:t>
      </w:r>
    </w:p>
    <w:p w:rsidR="00046C11" w:rsidRPr="000E03CD" w:rsidRDefault="00046C11" w:rsidP="002726BA">
      <w:pPr>
        <w:autoSpaceDE w:val="0"/>
        <w:autoSpaceDN w:val="0"/>
        <w:adjustRightInd w:val="0"/>
      </w:pPr>
      <w:r>
        <w:t>Următoarele persoane pot solicita ordine conform legislației privind violența domestică:-</w:t>
      </w:r>
    </w:p>
    <w:p w:rsidR="00046C11" w:rsidRPr="000E03CD" w:rsidRDefault="00046C11" w:rsidP="00EE4DBA">
      <w:pPr>
        <w:numPr>
          <w:ilvl w:val="0"/>
          <w:numId w:val="3"/>
        </w:numPr>
        <w:tabs>
          <w:tab w:val="clear" w:pos="341"/>
          <w:tab w:val="num" w:pos="709"/>
        </w:tabs>
        <w:autoSpaceDE w:val="0"/>
        <w:autoSpaceDN w:val="0"/>
        <w:adjustRightInd w:val="0"/>
        <w:ind w:left="709" w:hanging="283"/>
      </w:pPr>
      <w:r>
        <w:rPr>
          <w:b/>
        </w:rPr>
        <w:t>soții și foștii soți</w:t>
      </w:r>
      <w:r>
        <w:t>;</w:t>
      </w:r>
    </w:p>
    <w:p w:rsidR="009B7A80" w:rsidRPr="000E03CD" w:rsidRDefault="009B7A80" w:rsidP="00EE4DBA">
      <w:pPr>
        <w:numPr>
          <w:ilvl w:val="0"/>
          <w:numId w:val="3"/>
        </w:numPr>
        <w:tabs>
          <w:tab w:val="clear" w:pos="341"/>
          <w:tab w:val="num" w:pos="709"/>
        </w:tabs>
        <w:autoSpaceDE w:val="0"/>
        <w:autoSpaceDN w:val="0"/>
        <w:adjustRightInd w:val="0"/>
        <w:ind w:left="709" w:hanging="283"/>
      </w:pPr>
      <w:r>
        <w:rPr>
          <w:b/>
        </w:rPr>
        <w:t>partenerii civili și foștii parteneri civili</w:t>
      </w:r>
      <w:r>
        <w:t>;</w:t>
      </w:r>
    </w:p>
    <w:p w:rsidR="006103B6" w:rsidRPr="000E03CD" w:rsidRDefault="00046C11" w:rsidP="00EE4DBA">
      <w:pPr>
        <w:numPr>
          <w:ilvl w:val="0"/>
          <w:numId w:val="3"/>
        </w:numPr>
        <w:tabs>
          <w:tab w:val="clear" w:pos="341"/>
          <w:tab w:val="num" w:pos="709"/>
        </w:tabs>
        <w:autoSpaceDE w:val="0"/>
        <w:autoSpaceDN w:val="0"/>
        <w:adjustRightInd w:val="0"/>
        <w:ind w:left="709" w:hanging="283"/>
      </w:pPr>
      <w:r>
        <w:rPr>
          <w:b/>
        </w:rPr>
        <w:t>coabitanții</w:t>
      </w:r>
      <w:r>
        <w:t>;</w:t>
      </w:r>
    </w:p>
    <w:p w:rsidR="00B961DB" w:rsidRPr="000E03CD" w:rsidRDefault="00B961DB" w:rsidP="00EE4DBA">
      <w:pPr>
        <w:numPr>
          <w:ilvl w:val="0"/>
          <w:numId w:val="3"/>
        </w:numPr>
        <w:tabs>
          <w:tab w:val="clear" w:pos="341"/>
          <w:tab w:val="num" w:pos="709"/>
        </w:tabs>
        <w:autoSpaceDE w:val="0"/>
        <w:autoSpaceDN w:val="0"/>
        <w:adjustRightInd w:val="0"/>
        <w:ind w:left="709" w:hanging="283"/>
      </w:pPr>
      <w:r>
        <w:rPr>
          <w:b/>
        </w:rPr>
        <w:t>părinții</w:t>
      </w:r>
      <w:r>
        <w:t xml:space="preserve"> copiilor adulți care doresc să solicite ordine împotriva acestor copii; </w:t>
      </w:r>
    </w:p>
    <w:p w:rsidR="00932356" w:rsidRDefault="00B961DB" w:rsidP="00EE4DBA">
      <w:pPr>
        <w:numPr>
          <w:ilvl w:val="0"/>
          <w:numId w:val="3"/>
        </w:numPr>
        <w:tabs>
          <w:tab w:val="clear" w:pos="341"/>
          <w:tab w:val="num" w:pos="709"/>
        </w:tabs>
        <w:autoSpaceDE w:val="0"/>
        <w:autoSpaceDN w:val="0"/>
        <w:adjustRightInd w:val="0"/>
        <w:ind w:left="709" w:hanging="283"/>
      </w:pPr>
      <w:r>
        <w:rPr>
          <w:b/>
        </w:rPr>
        <w:t>persoanele</w:t>
      </w:r>
      <w:r>
        <w:t xml:space="preserve"> care locuiesc împreună într-o relație a cărei bază nu este în principal de natură contractuală; </w:t>
      </w:r>
    </w:p>
    <w:p w:rsidR="00B961DB" w:rsidRPr="000E03CD" w:rsidRDefault="00932356" w:rsidP="00EE4DBA">
      <w:pPr>
        <w:numPr>
          <w:ilvl w:val="0"/>
          <w:numId w:val="3"/>
        </w:numPr>
        <w:tabs>
          <w:tab w:val="clear" w:pos="341"/>
          <w:tab w:val="num" w:pos="709"/>
        </w:tabs>
        <w:autoSpaceDE w:val="0"/>
        <w:autoSpaceDN w:val="0"/>
        <w:adjustRightInd w:val="0"/>
        <w:ind w:left="709" w:hanging="283"/>
      </w:pPr>
      <w:r>
        <w:rPr>
          <w:b/>
        </w:rPr>
        <w:t>persoanele</w:t>
      </w:r>
      <w:r>
        <w:t xml:space="preserve"> aflate într-o relație care nu locuiesc împreună și </w:t>
      </w:r>
    </w:p>
    <w:p w:rsidR="00464758" w:rsidRPr="000E03CD" w:rsidRDefault="00B961DB" w:rsidP="00EE4DBA">
      <w:pPr>
        <w:numPr>
          <w:ilvl w:val="0"/>
          <w:numId w:val="3"/>
        </w:numPr>
        <w:tabs>
          <w:tab w:val="clear" w:pos="341"/>
          <w:tab w:val="num" w:pos="709"/>
        </w:tabs>
        <w:autoSpaceDE w:val="0"/>
        <w:autoSpaceDN w:val="0"/>
        <w:adjustRightInd w:val="0"/>
        <w:ind w:left="709" w:hanging="283"/>
      </w:pPr>
      <w:r>
        <w:rPr>
          <w:b/>
        </w:rPr>
        <w:t>părintele</w:t>
      </w:r>
      <w:r>
        <w:t xml:space="preserve"> unui copil împotriva celuilalt părinte.  </w:t>
      </w:r>
    </w:p>
    <w:p w:rsidR="00CF1B23" w:rsidRPr="000E03CD" w:rsidRDefault="00CF1B23" w:rsidP="00CF1B23">
      <w:pPr>
        <w:autoSpaceDE w:val="0"/>
        <w:autoSpaceDN w:val="0"/>
        <w:adjustRightInd w:val="0"/>
        <w:ind w:left="720"/>
      </w:pPr>
    </w:p>
    <w:p w:rsidR="00831981" w:rsidRPr="000E03CD" w:rsidRDefault="0077438A" w:rsidP="002726BA">
      <w:pPr>
        <w:autoSpaceDE w:val="0"/>
        <w:autoSpaceDN w:val="0"/>
        <w:adjustRightInd w:val="0"/>
        <w:rPr>
          <w:b/>
        </w:rPr>
      </w:pPr>
      <w:r>
        <w:rPr>
          <w:b/>
        </w:rPr>
        <w:t>Când poate acorda o instanță un ordin de siguranță coabitanților?</w:t>
      </w:r>
    </w:p>
    <w:p w:rsidR="00831981" w:rsidRPr="000E03CD" w:rsidRDefault="00A81D81" w:rsidP="002726BA">
      <w:pPr>
        <w:autoSpaceDE w:val="0"/>
        <w:autoSpaceDN w:val="0"/>
        <w:adjustRightInd w:val="0"/>
      </w:pPr>
      <w:r>
        <w:t>O instanță poate acorda un ordin de siguranță (inclusiv un ordin de protecție) dacă părțile trăiesc împreună într-o relație intimă.</w:t>
      </w:r>
    </w:p>
    <w:p w:rsidR="0077438A" w:rsidRPr="000E03CD" w:rsidRDefault="00046C11" w:rsidP="002726BA">
      <w:pPr>
        <w:autoSpaceDE w:val="0"/>
        <w:autoSpaceDN w:val="0"/>
        <w:adjustRightInd w:val="0"/>
      </w:pPr>
      <w:r>
        <w:t xml:space="preserve"> </w:t>
      </w:r>
    </w:p>
    <w:p w:rsidR="0077438A" w:rsidRPr="000E03CD" w:rsidRDefault="0077438A" w:rsidP="002726BA">
      <w:pPr>
        <w:autoSpaceDE w:val="0"/>
        <w:autoSpaceDN w:val="0"/>
        <w:adjustRightInd w:val="0"/>
        <w:rPr>
          <w:b/>
        </w:rPr>
      </w:pPr>
      <w:r>
        <w:rPr>
          <w:b/>
        </w:rPr>
        <w:t>Când poate o instanță să acorde coabitanților un ordin de interdicție?</w:t>
      </w:r>
    </w:p>
    <w:p w:rsidR="00890EAB" w:rsidRDefault="00046C11" w:rsidP="002726BA">
      <w:pPr>
        <w:autoSpaceDE w:val="0"/>
        <w:autoSpaceDN w:val="0"/>
        <w:adjustRightInd w:val="0"/>
      </w:pPr>
      <w:r>
        <w:t>O instanță poate acorda un ordin de interdicție coabitanților care trăiesc împreună într-o relație intimă.</w:t>
      </w:r>
    </w:p>
    <w:p w:rsidR="00890EAB" w:rsidRDefault="00890EAB" w:rsidP="002726BA">
      <w:pPr>
        <w:autoSpaceDE w:val="0"/>
        <w:autoSpaceDN w:val="0"/>
        <w:adjustRightInd w:val="0"/>
      </w:pPr>
    </w:p>
    <w:p w:rsidR="00890EAB" w:rsidRPr="00A024AF" w:rsidRDefault="00890EAB" w:rsidP="00890EAB">
      <w:pPr>
        <w:rPr>
          <w:b/>
        </w:rPr>
      </w:pPr>
      <w:r>
        <w:rPr>
          <w:b/>
        </w:rPr>
        <w:t>Când poate acorda o instanță un ordin de siguranță sau un ordin de protecție persoanelor care nu trăiesc împreună?</w:t>
      </w:r>
    </w:p>
    <w:p w:rsidR="00890EAB" w:rsidRPr="00772ED2" w:rsidRDefault="00890EAB" w:rsidP="00890EAB">
      <w:r>
        <w:t>Toți partenerii aflați într-o relație intimă sunt eligibili pentru ordine de siguranță și de protecție și nu trebuie să locuiască împreună.</w:t>
      </w:r>
    </w:p>
    <w:p w:rsidR="00831981" w:rsidRPr="000E03CD" w:rsidRDefault="00831981" w:rsidP="002726BA">
      <w:pPr>
        <w:autoSpaceDE w:val="0"/>
        <w:autoSpaceDN w:val="0"/>
        <w:adjustRightInd w:val="0"/>
      </w:pPr>
    </w:p>
    <w:p w:rsidR="00046C11" w:rsidRPr="000E03CD" w:rsidRDefault="0077438A" w:rsidP="00A024AF">
      <w:pPr>
        <w:autoSpaceDE w:val="0"/>
        <w:autoSpaceDN w:val="0"/>
        <w:adjustRightInd w:val="0"/>
      </w:pPr>
      <w:r>
        <w:rPr>
          <w:b/>
        </w:rPr>
        <w:t>Când NU poate fi acordat un ordin de interdicție coabitanților?</w:t>
      </w:r>
      <w:r>
        <w:rPr>
          <w:b/>
        </w:rPr>
        <w:br/>
      </w:r>
      <w:r>
        <w:t>Un ordin de interdicție nu va fi emis împotriva unui coabitant care deține locul de reședință sau care are mai multe drepturi de proprietate decât coabitantul care solicită protecție.</w:t>
      </w:r>
    </w:p>
    <w:p w:rsidR="00B007BE" w:rsidRPr="000E03CD" w:rsidRDefault="00B007BE" w:rsidP="002726BA">
      <w:pPr>
        <w:autoSpaceDE w:val="0"/>
        <w:autoSpaceDN w:val="0"/>
        <w:adjustRightInd w:val="0"/>
      </w:pPr>
    </w:p>
    <w:p w:rsidR="00553918" w:rsidRPr="000E03CD" w:rsidRDefault="00553918" w:rsidP="002726BA">
      <w:pPr>
        <w:autoSpaceDE w:val="0"/>
        <w:autoSpaceDN w:val="0"/>
        <w:adjustRightInd w:val="0"/>
        <w:rPr>
          <w:b/>
        </w:rPr>
      </w:pPr>
      <w:r>
        <w:rPr>
          <w:b/>
        </w:rPr>
        <w:t>Pot obține protecție împotriva unui copil adult?</w:t>
      </w:r>
    </w:p>
    <w:p w:rsidR="00553918" w:rsidRPr="000E03CD" w:rsidRDefault="00553918" w:rsidP="002726BA">
      <w:pPr>
        <w:autoSpaceDE w:val="0"/>
        <w:autoSpaceDN w:val="0"/>
        <w:adjustRightInd w:val="0"/>
      </w:pPr>
      <w:r>
        <w:t>Da, puteți să solicitați fie un ordin de siguranță, fie un ordin de interdicție împotriva unui copil adult abuziv.</w:t>
      </w:r>
    </w:p>
    <w:p w:rsidR="00553918" w:rsidRPr="000E03CD" w:rsidRDefault="00553918" w:rsidP="002726BA">
      <w:pPr>
        <w:autoSpaceDE w:val="0"/>
        <w:autoSpaceDN w:val="0"/>
        <w:adjustRightInd w:val="0"/>
      </w:pPr>
    </w:p>
    <w:p w:rsidR="000877D5" w:rsidRPr="000E03CD" w:rsidRDefault="000877D5" w:rsidP="002726BA">
      <w:pPr>
        <w:autoSpaceDE w:val="0"/>
        <w:autoSpaceDN w:val="0"/>
        <w:adjustRightInd w:val="0"/>
        <w:rPr>
          <w:b/>
        </w:rPr>
      </w:pPr>
      <w:r>
        <w:rPr>
          <w:b/>
        </w:rPr>
        <w:t>Când NU va acorda instanța un ordin de interdicție împotriva unui copil?</w:t>
      </w:r>
    </w:p>
    <w:p w:rsidR="00CF6B72" w:rsidRPr="000E03CD" w:rsidRDefault="002726BA" w:rsidP="002726BA">
      <w:pPr>
        <w:autoSpaceDE w:val="0"/>
        <w:autoSpaceDN w:val="0"/>
        <w:adjustRightInd w:val="0"/>
      </w:pPr>
      <w:r>
        <w:t>O instanță nu va acorda un ordin de interdicție împotriva unui copil care;</w:t>
      </w:r>
    </w:p>
    <w:p w:rsidR="00464758" w:rsidRPr="000E03CD" w:rsidRDefault="002726BA" w:rsidP="002726BA">
      <w:pPr>
        <w:numPr>
          <w:ilvl w:val="0"/>
          <w:numId w:val="5"/>
        </w:numPr>
        <w:tabs>
          <w:tab w:val="clear" w:pos="720"/>
          <w:tab w:val="num" w:pos="284"/>
        </w:tabs>
        <w:autoSpaceDE w:val="0"/>
        <w:autoSpaceDN w:val="0"/>
        <w:adjustRightInd w:val="0"/>
        <w:ind w:left="284" w:firstLine="0"/>
      </w:pPr>
      <w:r>
        <w:t>se află în întreținere;</w:t>
      </w:r>
    </w:p>
    <w:p w:rsidR="00CF6B72" w:rsidRPr="000E03CD" w:rsidRDefault="00046C11" w:rsidP="002726BA">
      <w:pPr>
        <w:numPr>
          <w:ilvl w:val="0"/>
          <w:numId w:val="2"/>
        </w:numPr>
        <w:autoSpaceDE w:val="0"/>
        <w:autoSpaceDN w:val="0"/>
        <w:adjustRightInd w:val="0"/>
        <w:ind w:hanging="436"/>
      </w:pPr>
      <w:r>
        <w:t xml:space="preserve">deține locul de reședință; sau </w:t>
      </w:r>
    </w:p>
    <w:p w:rsidR="00046C11" w:rsidRPr="000E03CD" w:rsidRDefault="00046C11" w:rsidP="009D63A2">
      <w:pPr>
        <w:numPr>
          <w:ilvl w:val="0"/>
          <w:numId w:val="2"/>
        </w:numPr>
        <w:autoSpaceDE w:val="0"/>
        <w:autoSpaceDN w:val="0"/>
        <w:adjustRightInd w:val="0"/>
        <w:ind w:hanging="436"/>
      </w:pPr>
      <w:r>
        <w:t>deține mai multe drepturi de proprietate decât părintele care solicită protecție.</w:t>
      </w:r>
    </w:p>
    <w:p w:rsidR="00046C11" w:rsidRPr="000E03CD" w:rsidRDefault="00046C11" w:rsidP="002726BA">
      <w:pPr>
        <w:autoSpaceDE w:val="0"/>
        <w:autoSpaceDN w:val="0"/>
        <w:adjustRightInd w:val="0"/>
      </w:pPr>
    </w:p>
    <w:p w:rsidR="009D63A2" w:rsidRPr="000E03CD" w:rsidRDefault="009D63A2" w:rsidP="002726BA">
      <w:pPr>
        <w:autoSpaceDE w:val="0"/>
        <w:autoSpaceDN w:val="0"/>
        <w:adjustRightInd w:val="0"/>
        <w:rPr>
          <w:b/>
          <w:bCs/>
        </w:rPr>
      </w:pPr>
      <w:r>
        <w:rPr>
          <w:b/>
          <w:bCs/>
        </w:rPr>
        <w:t>Când pot solicita persoanele care locuiesc împreună protecție una față de cealaltă?</w:t>
      </w:r>
    </w:p>
    <w:p w:rsidR="00772073" w:rsidRPr="000E03CD" w:rsidRDefault="002726BA" w:rsidP="002726BA">
      <w:pPr>
        <w:autoSpaceDE w:val="0"/>
        <w:autoSpaceDN w:val="0"/>
        <w:adjustRightInd w:val="0"/>
      </w:pPr>
      <w:r>
        <w:t>Persoanele care locuiesc împreună</w:t>
      </w:r>
      <w:r>
        <w:rPr>
          <w:b/>
          <w:bCs/>
        </w:rPr>
        <w:t xml:space="preserve"> </w:t>
      </w:r>
      <w:r>
        <w:t xml:space="preserve">în aceeași locuință pot solicita protecție una față de cealaltă. Persoana împotriva căreia se solicită protecție trebuie să aibă </w:t>
      </w:r>
      <w:r>
        <w:lastRenderedPageBreak/>
        <w:t xml:space="preserve">vârsta de peste 18 ani. Cu toate acestea, instanța nu va acorda protecție în cazul în are consideră că între persoanele respectivă există o relație de ordin contractual. </w:t>
      </w:r>
    </w:p>
    <w:p w:rsidR="00C93034" w:rsidRPr="000E03CD" w:rsidRDefault="00C93034" w:rsidP="009D63A2">
      <w:pPr>
        <w:autoSpaceDE w:val="0"/>
        <w:autoSpaceDN w:val="0"/>
        <w:adjustRightInd w:val="0"/>
      </w:pPr>
    </w:p>
    <w:p w:rsidR="009D63A2" w:rsidRPr="000E03CD" w:rsidRDefault="00B961DB" w:rsidP="009D63A2">
      <w:pPr>
        <w:autoSpaceDE w:val="0"/>
        <w:autoSpaceDN w:val="0"/>
        <w:adjustRightInd w:val="0"/>
        <w:rPr>
          <w:b/>
        </w:rPr>
      </w:pPr>
      <w:r>
        <w:rPr>
          <w:b/>
        </w:rPr>
        <w:t>Un copil aflat în întreținere poate solicita protecție?</w:t>
      </w:r>
    </w:p>
    <w:p w:rsidR="0017414D" w:rsidRPr="005D69DB" w:rsidRDefault="00B961DB" w:rsidP="0017414D">
      <w:r>
        <w:t xml:space="preserve">Nu. Un </w:t>
      </w:r>
      <w:r>
        <w:rPr>
          <w:b/>
          <w:bCs/>
        </w:rPr>
        <w:t xml:space="preserve">părinte </w:t>
      </w:r>
      <w:r>
        <w:t>poate solicita protecție în numele propriului copil</w:t>
      </w:r>
      <w:r>
        <w:rPr>
          <w:b/>
        </w:rPr>
        <w:t xml:space="preserve">.  </w:t>
      </w:r>
    </w:p>
    <w:p w:rsidR="00A024AF" w:rsidRDefault="00A024AF" w:rsidP="00A024AF"/>
    <w:p w:rsidR="00046C11" w:rsidRPr="00A024AF" w:rsidRDefault="00AF2FC7" w:rsidP="00A024AF">
      <w:pPr>
        <w:rPr>
          <w:color w:val="222222"/>
        </w:rPr>
      </w:pPr>
      <w:r>
        <w:t>Agenția pentru Protecția Copilului și a Familiei</w:t>
      </w:r>
      <w:r>
        <w:rPr>
          <w:color w:val="222222"/>
        </w:rPr>
        <w:t xml:space="preserve"> (Tusla)</w:t>
      </w:r>
      <w:r>
        <w:rPr>
          <w:b/>
          <w:bCs/>
        </w:rPr>
        <w:t xml:space="preserve"> </w:t>
      </w:r>
      <w:r>
        <w:t>poate solicita protecție în numele unei persoane și / sau în numele copiilor aflați în întreținerea persoanei respective în cazul în care persoana respectivă nu poate transmite solicitarea în nume propriu.</w:t>
      </w:r>
    </w:p>
    <w:p w:rsidR="00046C11" w:rsidRPr="000E03CD" w:rsidRDefault="00046C11" w:rsidP="002726BA">
      <w:pPr>
        <w:autoSpaceDE w:val="0"/>
        <w:autoSpaceDN w:val="0"/>
        <w:adjustRightInd w:val="0"/>
      </w:pPr>
    </w:p>
    <w:p w:rsidR="00046C11" w:rsidRPr="000E03CD" w:rsidRDefault="00395889" w:rsidP="002726BA">
      <w:pPr>
        <w:autoSpaceDE w:val="0"/>
        <w:autoSpaceDN w:val="0"/>
        <w:adjustRightInd w:val="0"/>
        <w:rPr>
          <w:b/>
          <w:bCs/>
        </w:rPr>
      </w:pPr>
      <w:r>
        <w:rPr>
          <w:b/>
          <w:bCs/>
        </w:rPr>
        <w:t>Ce se întâmplă dacă o persoană nu se supune unei hotărâri judecătorești/unui ordin judecătoresc?</w:t>
      </w:r>
    </w:p>
    <w:p w:rsidR="00046C11" w:rsidRPr="000E03CD" w:rsidRDefault="00046C11" w:rsidP="002726BA">
      <w:pPr>
        <w:autoSpaceDE w:val="0"/>
        <w:autoSpaceDN w:val="0"/>
        <w:adjustRightInd w:val="0"/>
      </w:pPr>
      <w:r>
        <w:t xml:space="preserve">O încălcare a oricărui ordin/oricărei hotărâri conform legislației privind violența domestică reprezintă </w:t>
      </w:r>
      <w:r>
        <w:rPr>
          <w:b/>
        </w:rPr>
        <w:t>infracțiune penală</w:t>
      </w:r>
      <w:r>
        <w:t>. Agenții Garda pot să aresteze și să pună sub acuzare o persoană care încalcă un astfel de ordin/o astfel de hotărâre.</w:t>
      </w:r>
    </w:p>
    <w:p w:rsidR="00BF071F" w:rsidRPr="000E03CD" w:rsidRDefault="00BF071F" w:rsidP="002726BA">
      <w:pPr>
        <w:autoSpaceDE w:val="0"/>
        <w:autoSpaceDN w:val="0"/>
        <w:adjustRightInd w:val="0"/>
        <w:rPr>
          <w:b/>
          <w:bCs/>
        </w:rPr>
      </w:pPr>
    </w:p>
    <w:p w:rsidR="00046C11" w:rsidRPr="000E03CD" w:rsidRDefault="00046C11" w:rsidP="002726BA">
      <w:pPr>
        <w:autoSpaceDE w:val="0"/>
        <w:autoSpaceDN w:val="0"/>
        <w:adjustRightInd w:val="0"/>
        <w:rPr>
          <w:b/>
          <w:bCs/>
        </w:rPr>
      </w:pPr>
      <w:r>
        <w:rPr>
          <w:b/>
          <w:bCs/>
        </w:rPr>
        <w:t>Alte infracțiuni penale</w:t>
      </w:r>
    </w:p>
    <w:p w:rsidR="000541C9" w:rsidRPr="000E03CD" w:rsidRDefault="00046C11" w:rsidP="002726BA">
      <w:pPr>
        <w:autoSpaceDE w:val="0"/>
        <w:autoSpaceDN w:val="0"/>
        <w:adjustRightInd w:val="0"/>
      </w:pPr>
      <w:r>
        <w:t xml:space="preserve">Indiferent dacă hotărârile/ordinele judecătorești sunt emise conform legislației privind violența domestică, violența de ordin fizic și / sau sexual constituie infracțiune. Agenții Garda au autoritatea de a aresta și de a pune sub acuzare o persoană violentă. În cazul persoanelor căsătorite, reprezintă de asemenea infracțiune înlăturarea articolelor gospodărești dintr-o locuință familială, în timpul unor proceduri în curs conform legislației privind violența domestică. </w:t>
      </w:r>
    </w:p>
    <w:p w:rsidR="000541C9" w:rsidRPr="000E03CD" w:rsidRDefault="000541C9" w:rsidP="002726BA">
      <w:pPr>
        <w:autoSpaceDE w:val="0"/>
        <w:autoSpaceDN w:val="0"/>
        <w:adjustRightInd w:val="0"/>
      </w:pPr>
    </w:p>
    <w:p w:rsidR="000541C9" w:rsidRPr="000E03CD" w:rsidRDefault="000541C9" w:rsidP="002726BA">
      <w:pPr>
        <w:autoSpaceDE w:val="0"/>
        <w:autoSpaceDN w:val="0"/>
        <w:adjustRightInd w:val="0"/>
        <w:rPr>
          <w:b/>
        </w:rPr>
      </w:pPr>
      <w:r>
        <w:rPr>
          <w:b/>
        </w:rPr>
        <w:t>Instanța poate emite alte ordine în același timp cu ordinele privind violența domestică</w:t>
      </w:r>
    </w:p>
    <w:p w:rsidR="00046C11" w:rsidRDefault="000541C9" w:rsidP="002726BA">
      <w:pPr>
        <w:autoSpaceDE w:val="0"/>
        <w:autoSpaceDN w:val="0"/>
        <w:adjustRightInd w:val="0"/>
      </w:pPr>
      <w:r>
        <w:t>În același timp în care Instanța este sesizată cu solicitarea unui ordin/unor ordine conform legislației privind violența domestică, aceasta poate emite, de asemenea, ordine de întreținere, custodie și acces, îngrijirea copiilor și ordine conform Legii privind protecția locuinței familiale. În general, instanțele preferă solicitări separate pentru emiterea acestor ordine.</w:t>
      </w:r>
    </w:p>
    <w:p w:rsidR="00390054" w:rsidRDefault="00390054" w:rsidP="002726BA">
      <w:pPr>
        <w:autoSpaceDE w:val="0"/>
        <w:autoSpaceDN w:val="0"/>
        <w:adjustRightInd w:val="0"/>
      </w:pPr>
    </w:p>
    <w:p w:rsidR="00390054" w:rsidRDefault="00390054" w:rsidP="002726BA">
      <w:pPr>
        <w:autoSpaceDE w:val="0"/>
        <w:autoSpaceDN w:val="0"/>
        <w:adjustRightInd w:val="0"/>
        <w:rPr>
          <w:b/>
        </w:rPr>
      </w:pPr>
      <w:r>
        <w:rPr>
          <w:b/>
        </w:rPr>
        <w:t>Trebuie să achit o contribuție pentru asistența juridică în cauzele de violență domestică?</w:t>
      </w:r>
    </w:p>
    <w:p w:rsidR="00390054" w:rsidRPr="00390054" w:rsidRDefault="00390054" w:rsidP="002726BA">
      <w:pPr>
        <w:autoSpaceDE w:val="0"/>
        <w:autoSpaceDN w:val="0"/>
        <w:adjustRightInd w:val="0"/>
      </w:pPr>
      <w:r>
        <w:t>Nu. Atât timp cât îndepliniți pragurile de venit disponibil și de capital pentru asistență juridică, iar singura solicitare pe care o adresați instanței este cea referitoare la o cale de remediere privind violența domestică, nu trebuie să achitați o contribuție pentru asistența juridică acordată.</w:t>
      </w:r>
    </w:p>
    <w:p w:rsidR="009C7919" w:rsidRPr="000E03CD" w:rsidRDefault="009C7919" w:rsidP="002726BA"/>
    <w:p w:rsidR="000E03CD" w:rsidRPr="0017414D" w:rsidRDefault="009C7919" w:rsidP="000E03CD">
      <w:pPr>
        <w:rPr>
          <w:bCs/>
        </w:rPr>
      </w:pPr>
      <w:r>
        <w:t>Sediul central: Consiliul de Asistență Juridică, Quay Street, Cahirciveen, Co. Kerry, V23 RD36.</w:t>
      </w:r>
    </w:p>
    <w:p w:rsidR="009C7919" w:rsidRPr="00222ECD" w:rsidRDefault="009C7919" w:rsidP="002726BA">
      <w:r>
        <w:t xml:space="preserve">Tel.:  (066) 947 1000    </w:t>
      </w:r>
    </w:p>
    <w:p w:rsidR="009C7919" w:rsidRPr="000E03CD" w:rsidRDefault="009C7919" w:rsidP="002726BA">
      <w:r>
        <w:t>Fax: (066) 947 1035</w:t>
      </w:r>
    </w:p>
    <w:p w:rsidR="009C7919" w:rsidRPr="000E03CD" w:rsidRDefault="009C7919" w:rsidP="002726BA">
      <w:r>
        <w:lastRenderedPageBreak/>
        <w:t>Nr. local 1890 615 2000</w:t>
      </w:r>
    </w:p>
    <w:p w:rsidR="009C7919" w:rsidRPr="00222ECD" w:rsidRDefault="009C7919" w:rsidP="002726BA">
      <w:r>
        <w:t xml:space="preserve">Site web: </w:t>
      </w:r>
      <w:hyperlink r:id="rId8" w:history="1">
        <w:r>
          <w:rPr>
            <w:rStyle w:val="Hyperlink"/>
          </w:rPr>
          <w:t>www.legalaidboard.ie</w:t>
        </w:r>
      </w:hyperlink>
    </w:p>
    <w:p w:rsidR="007F7319" w:rsidRPr="002726BA" w:rsidRDefault="007F7319" w:rsidP="002726BA"/>
    <w:sectPr w:rsidR="007F7319" w:rsidRPr="002726BA" w:rsidSect="00046C1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11" w:rsidRDefault="00357F11">
      <w:r>
        <w:separator/>
      </w:r>
    </w:p>
  </w:endnote>
  <w:endnote w:type="continuationSeparator" w:id="0">
    <w:p w:rsidR="00357F11" w:rsidRDefault="0035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11" w:rsidRDefault="00357F11">
      <w:r>
        <w:separator/>
      </w:r>
    </w:p>
  </w:footnote>
  <w:footnote w:type="continuationSeparator" w:id="0">
    <w:p w:rsidR="00357F11" w:rsidRDefault="00357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A64"/>
    <w:multiLevelType w:val="hybridMultilevel"/>
    <w:tmpl w:val="B2B0AA0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nsid w:val="0BE919A6"/>
    <w:multiLevelType w:val="hybridMultilevel"/>
    <w:tmpl w:val="11589DBE"/>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20A3C76"/>
    <w:multiLevelType w:val="hybridMultilevel"/>
    <w:tmpl w:val="7CE26F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DA179CF"/>
    <w:multiLevelType w:val="hybridMultilevel"/>
    <w:tmpl w:val="958A5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E961F26"/>
    <w:multiLevelType w:val="hybridMultilevel"/>
    <w:tmpl w:val="7BC499B6"/>
    <w:lvl w:ilvl="0" w:tplc="BBE497A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1BA0559"/>
    <w:multiLevelType w:val="hybridMultilevel"/>
    <w:tmpl w:val="C61C9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B0F05E8"/>
    <w:multiLevelType w:val="hybridMultilevel"/>
    <w:tmpl w:val="8F7E56B8"/>
    <w:lvl w:ilvl="0" w:tplc="2B188E3C">
      <w:start w:val="1"/>
      <w:numFmt w:val="bullet"/>
      <w:lvlText w:val=""/>
      <w:lvlJc w:val="left"/>
      <w:pPr>
        <w:tabs>
          <w:tab w:val="num" w:pos="341"/>
        </w:tabs>
        <w:ind w:left="0" w:firstLine="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F5337A3"/>
    <w:multiLevelType w:val="hybridMultilevel"/>
    <w:tmpl w:val="31EEE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89B5F00"/>
    <w:multiLevelType w:val="hybridMultilevel"/>
    <w:tmpl w:val="AA4CC5DA"/>
    <w:lvl w:ilvl="0" w:tplc="84D67252">
      <w:start w:val="1"/>
      <w:numFmt w:val="bullet"/>
      <w:lvlText w:val=""/>
      <w:lvlJc w:val="left"/>
      <w:pPr>
        <w:tabs>
          <w:tab w:val="num" w:pos="2340"/>
        </w:tabs>
        <w:ind w:left="1928"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C4402FF"/>
    <w:multiLevelType w:val="hybridMultilevel"/>
    <w:tmpl w:val="558C5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3"/>
  </w:num>
  <w:num w:numId="6">
    <w:abstractNumId w:val="9"/>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11"/>
    <w:rsid w:val="000102E0"/>
    <w:rsid w:val="000209B1"/>
    <w:rsid w:val="00033613"/>
    <w:rsid w:val="00046C11"/>
    <w:rsid w:val="000541C9"/>
    <w:rsid w:val="00055BFD"/>
    <w:rsid w:val="000769C9"/>
    <w:rsid w:val="00082695"/>
    <w:rsid w:val="000877D5"/>
    <w:rsid w:val="000E03CD"/>
    <w:rsid w:val="001127BD"/>
    <w:rsid w:val="00145EE2"/>
    <w:rsid w:val="001606E2"/>
    <w:rsid w:val="00170C4D"/>
    <w:rsid w:val="00173A1F"/>
    <w:rsid w:val="0017414D"/>
    <w:rsid w:val="00181A1F"/>
    <w:rsid w:val="001B71F6"/>
    <w:rsid w:val="001C1C5A"/>
    <w:rsid w:val="001C1D4E"/>
    <w:rsid w:val="001C570E"/>
    <w:rsid w:val="001F54C7"/>
    <w:rsid w:val="00206C8D"/>
    <w:rsid w:val="00220221"/>
    <w:rsid w:val="00222ECD"/>
    <w:rsid w:val="0022462C"/>
    <w:rsid w:val="00226A7D"/>
    <w:rsid w:val="00232C1A"/>
    <w:rsid w:val="00233D29"/>
    <w:rsid w:val="00246C14"/>
    <w:rsid w:val="00247641"/>
    <w:rsid w:val="002634AA"/>
    <w:rsid w:val="002726BA"/>
    <w:rsid w:val="002A1B8A"/>
    <w:rsid w:val="002A7E34"/>
    <w:rsid w:val="002B066B"/>
    <w:rsid w:val="002C48FD"/>
    <w:rsid w:val="002D2958"/>
    <w:rsid w:val="003320CA"/>
    <w:rsid w:val="00335D74"/>
    <w:rsid w:val="00341AA5"/>
    <w:rsid w:val="003446B1"/>
    <w:rsid w:val="00357F11"/>
    <w:rsid w:val="00361707"/>
    <w:rsid w:val="00390054"/>
    <w:rsid w:val="00395889"/>
    <w:rsid w:val="003A30C2"/>
    <w:rsid w:val="003B250C"/>
    <w:rsid w:val="003C1B6E"/>
    <w:rsid w:val="003C5C69"/>
    <w:rsid w:val="004020C5"/>
    <w:rsid w:val="00416F30"/>
    <w:rsid w:val="004357AF"/>
    <w:rsid w:val="0043796F"/>
    <w:rsid w:val="00440181"/>
    <w:rsid w:val="00464758"/>
    <w:rsid w:val="00466CF7"/>
    <w:rsid w:val="004A70D8"/>
    <w:rsid w:val="004C10AB"/>
    <w:rsid w:val="004E20D7"/>
    <w:rsid w:val="004E3801"/>
    <w:rsid w:val="004E3F33"/>
    <w:rsid w:val="004E40C7"/>
    <w:rsid w:val="004E4D1E"/>
    <w:rsid w:val="004F3825"/>
    <w:rsid w:val="00521701"/>
    <w:rsid w:val="00524D9C"/>
    <w:rsid w:val="00553918"/>
    <w:rsid w:val="005709D4"/>
    <w:rsid w:val="005775E4"/>
    <w:rsid w:val="005938DF"/>
    <w:rsid w:val="005A2819"/>
    <w:rsid w:val="005A34FC"/>
    <w:rsid w:val="005B2C91"/>
    <w:rsid w:val="005B33CB"/>
    <w:rsid w:val="005F252C"/>
    <w:rsid w:val="005F4817"/>
    <w:rsid w:val="006103B6"/>
    <w:rsid w:val="00616BFD"/>
    <w:rsid w:val="0064411A"/>
    <w:rsid w:val="006727AE"/>
    <w:rsid w:val="00674274"/>
    <w:rsid w:val="006A2080"/>
    <w:rsid w:val="006A34AD"/>
    <w:rsid w:val="006D56C0"/>
    <w:rsid w:val="006F157C"/>
    <w:rsid w:val="006F7995"/>
    <w:rsid w:val="00740C21"/>
    <w:rsid w:val="007415F9"/>
    <w:rsid w:val="00751160"/>
    <w:rsid w:val="00772073"/>
    <w:rsid w:val="0077438A"/>
    <w:rsid w:val="0077776A"/>
    <w:rsid w:val="0078263D"/>
    <w:rsid w:val="007878DD"/>
    <w:rsid w:val="00791B40"/>
    <w:rsid w:val="007A5CB2"/>
    <w:rsid w:val="007A7F40"/>
    <w:rsid w:val="007E2384"/>
    <w:rsid w:val="007F7319"/>
    <w:rsid w:val="00831981"/>
    <w:rsid w:val="00835676"/>
    <w:rsid w:val="00853105"/>
    <w:rsid w:val="00857509"/>
    <w:rsid w:val="008575B1"/>
    <w:rsid w:val="00877730"/>
    <w:rsid w:val="00890658"/>
    <w:rsid w:val="00890EAB"/>
    <w:rsid w:val="008B2CA5"/>
    <w:rsid w:val="008E6AA9"/>
    <w:rsid w:val="00925A42"/>
    <w:rsid w:val="00927855"/>
    <w:rsid w:val="009305F6"/>
    <w:rsid w:val="00932356"/>
    <w:rsid w:val="00941427"/>
    <w:rsid w:val="00951F6E"/>
    <w:rsid w:val="0095679F"/>
    <w:rsid w:val="009743C4"/>
    <w:rsid w:val="009A114F"/>
    <w:rsid w:val="009A550D"/>
    <w:rsid w:val="009A6AA3"/>
    <w:rsid w:val="009B7A80"/>
    <w:rsid w:val="009C7919"/>
    <w:rsid w:val="009D2E80"/>
    <w:rsid w:val="009D63A2"/>
    <w:rsid w:val="009E46E4"/>
    <w:rsid w:val="00A024AF"/>
    <w:rsid w:val="00A24413"/>
    <w:rsid w:val="00A43816"/>
    <w:rsid w:val="00A478AA"/>
    <w:rsid w:val="00A81D81"/>
    <w:rsid w:val="00A94540"/>
    <w:rsid w:val="00A94E9F"/>
    <w:rsid w:val="00AB5F10"/>
    <w:rsid w:val="00AF2FC7"/>
    <w:rsid w:val="00AF3763"/>
    <w:rsid w:val="00AF573E"/>
    <w:rsid w:val="00AF6403"/>
    <w:rsid w:val="00B007BE"/>
    <w:rsid w:val="00B25443"/>
    <w:rsid w:val="00B26BCE"/>
    <w:rsid w:val="00B3032F"/>
    <w:rsid w:val="00B8286B"/>
    <w:rsid w:val="00B85B29"/>
    <w:rsid w:val="00B961DB"/>
    <w:rsid w:val="00BB420C"/>
    <w:rsid w:val="00BC0396"/>
    <w:rsid w:val="00BF071F"/>
    <w:rsid w:val="00C16A90"/>
    <w:rsid w:val="00C23205"/>
    <w:rsid w:val="00C23422"/>
    <w:rsid w:val="00C348EC"/>
    <w:rsid w:val="00C7065B"/>
    <w:rsid w:val="00C93034"/>
    <w:rsid w:val="00C956A5"/>
    <w:rsid w:val="00CA3D4F"/>
    <w:rsid w:val="00CA55B2"/>
    <w:rsid w:val="00CA6167"/>
    <w:rsid w:val="00CF1B23"/>
    <w:rsid w:val="00CF6B72"/>
    <w:rsid w:val="00D2130C"/>
    <w:rsid w:val="00D255B1"/>
    <w:rsid w:val="00D4358F"/>
    <w:rsid w:val="00D457CD"/>
    <w:rsid w:val="00D86006"/>
    <w:rsid w:val="00DA089A"/>
    <w:rsid w:val="00DA2437"/>
    <w:rsid w:val="00DF0AC7"/>
    <w:rsid w:val="00DF74E6"/>
    <w:rsid w:val="00E20CA0"/>
    <w:rsid w:val="00E37FA8"/>
    <w:rsid w:val="00E53613"/>
    <w:rsid w:val="00E61193"/>
    <w:rsid w:val="00E73107"/>
    <w:rsid w:val="00EB1B86"/>
    <w:rsid w:val="00EB69D6"/>
    <w:rsid w:val="00EC2EE4"/>
    <w:rsid w:val="00ED1689"/>
    <w:rsid w:val="00ED7D52"/>
    <w:rsid w:val="00EE4DBA"/>
    <w:rsid w:val="00F643F8"/>
    <w:rsid w:val="00F71E37"/>
    <w:rsid w:val="00F95937"/>
    <w:rsid w:val="00FC0ED6"/>
    <w:rsid w:val="00FC79FF"/>
    <w:rsid w:val="00FD7E24"/>
    <w:rsid w:val="00FF107D"/>
    <w:rsid w:val="00FF36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292526"/>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EE2"/>
    <w:pPr>
      <w:tabs>
        <w:tab w:val="center" w:pos="4153"/>
        <w:tab w:val="right" w:pos="8306"/>
      </w:tabs>
    </w:pPr>
  </w:style>
  <w:style w:type="paragraph" w:styleId="Footer">
    <w:name w:val="footer"/>
    <w:basedOn w:val="Normal"/>
    <w:rsid w:val="00145EE2"/>
    <w:pPr>
      <w:tabs>
        <w:tab w:val="center" w:pos="4153"/>
        <w:tab w:val="right" w:pos="8306"/>
      </w:tabs>
    </w:pPr>
  </w:style>
  <w:style w:type="paragraph" w:styleId="BalloonText">
    <w:name w:val="Balloon Text"/>
    <w:basedOn w:val="Normal"/>
    <w:semiHidden/>
    <w:rsid w:val="00466CF7"/>
    <w:rPr>
      <w:rFonts w:ascii="Tahoma" w:hAnsi="Tahoma" w:cs="Tahoma"/>
      <w:sz w:val="16"/>
      <w:szCs w:val="16"/>
    </w:rPr>
  </w:style>
  <w:style w:type="character" w:styleId="CommentReference">
    <w:name w:val="annotation reference"/>
    <w:semiHidden/>
    <w:rsid w:val="00B85B29"/>
    <w:rPr>
      <w:sz w:val="16"/>
      <w:szCs w:val="16"/>
    </w:rPr>
  </w:style>
  <w:style w:type="paragraph" w:styleId="CommentText">
    <w:name w:val="annotation text"/>
    <w:basedOn w:val="Normal"/>
    <w:semiHidden/>
    <w:rsid w:val="00B85B29"/>
    <w:rPr>
      <w:sz w:val="20"/>
      <w:szCs w:val="20"/>
    </w:rPr>
  </w:style>
  <w:style w:type="paragraph" w:styleId="CommentSubject">
    <w:name w:val="annotation subject"/>
    <w:basedOn w:val="CommentText"/>
    <w:next w:val="CommentText"/>
    <w:semiHidden/>
    <w:rsid w:val="00B85B29"/>
    <w:rPr>
      <w:b/>
      <w:bCs/>
    </w:rPr>
  </w:style>
  <w:style w:type="character" w:styleId="Hyperlink">
    <w:name w:val="Hyperlink"/>
    <w:rsid w:val="009C7919"/>
    <w:rPr>
      <w:color w:val="0000FF"/>
      <w:u w:val="single"/>
    </w:rPr>
  </w:style>
  <w:style w:type="table" w:styleId="TableGrid">
    <w:name w:val="Table Grid"/>
    <w:basedOn w:val="TableNormal"/>
    <w:rsid w:val="00941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292526"/>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EE2"/>
    <w:pPr>
      <w:tabs>
        <w:tab w:val="center" w:pos="4153"/>
        <w:tab w:val="right" w:pos="8306"/>
      </w:tabs>
    </w:pPr>
  </w:style>
  <w:style w:type="paragraph" w:styleId="Footer">
    <w:name w:val="footer"/>
    <w:basedOn w:val="Normal"/>
    <w:rsid w:val="00145EE2"/>
    <w:pPr>
      <w:tabs>
        <w:tab w:val="center" w:pos="4153"/>
        <w:tab w:val="right" w:pos="8306"/>
      </w:tabs>
    </w:pPr>
  </w:style>
  <w:style w:type="paragraph" w:styleId="BalloonText">
    <w:name w:val="Balloon Text"/>
    <w:basedOn w:val="Normal"/>
    <w:semiHidden/>
    <w:rsid w:val="00466CF7"/>
    <w:rPr>
      <w:rFonts w:ascii="Tahoma" w:hAnsi="Tahoma" w:cs="Tahoma"/>
      <w:sz w:val="16"/>
      <w:szCs w:val="16"/>
    </w:rPr>
  </w:style>
  <w:style w:type="character" w:styleId="CommentReference">
    <w:name w:val="annotation reference"/>
    <w:semiHidden/>
    <w:rsid w:val="00B85B29"/>
    <w:rPr>
      <w:sz w:val="16"/>
      <w:szCs w:val="16"/>
    </w:rPr>
  </w:style>
  <w:style w:type="paragraph" w:styleId="CommentText">
    <w:name w:val="annotation text"/>
    <w:basedOn w:val="Normal"/>
    <w:semiHidden/>
    <w:rsid w:val="00B85B29"/>
    <w:rPr>
      <w:sz w:val="20"/>
      <w:szCs w:val="20"/>
    </w:rPr>
  </w:style>
  <w:style w:type="paragraph" w:styleId="CommentSubject">
    <w:name w:val="annotation subject"/>
    <w:basedOn w:val="CommentText"/>
    <w:next w:val="CommentText"/>
    <w:semiHidden/>
    <w:rsid w:val="00B85B29"/>
    <w:rPr>
      <w:b/>
      <w:bCs/>
    </w:rPr>
  </w:style>
  <w:style w:type="character" w:styleId="Hyperlink">
    <w:name w:val="Hyperlink"/>
    <w:rsid w:val="009C7919"/>
    <w:rPr>
      <w:color w:val="0000FF"/>
      <w:u w:val="single"/>
    </w:rPr>
  </w:style>
  <w:style w:type="table" w:styleId="TableGrid">
    <w:name w:val="Table Grid"/>
    <w:basedOn w:val="TableNormal"/>
    <w:rsid w:val="00941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5</Pages>
  <Words>1359</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9215</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2019-03-13T15:50:00Z</dcterms:created>
  <dcterms:modified xsi:type="dcterms:W3CDTF">2019-03-13T15:50:00Z</dcterms:modified>
</cp:coreProperties>
</file>