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DA2C8" w14:textId="7A3FCD8A" w:rsidR="00940D76" w:rsidRPr="00072D28" w:rsidRDefault="00BB4C9C" w:rsidP="0064234E">
      <w:pPr>
        <w:autoSpaceDE w:val="0"/>
        <w:autoSpaceDN w:val="0"/>
        <w:adjustRightInd w:val="0"/>
        <w:outlineLvl w:val="0"/>
        <w:rPr>
          <w:b/>
          <w:bCs/>
        </w:rPr>
      </w:pPr>
      <w:bookmarkStart w:id="0" w:name="_GoBack"/>
      <w:bookmarkEnd w:id="0"/>
      <w:r>
        <w:rPr>
          <w:rFonts w:ascii="SimSun" w:hAnsi="SimSun" w:cs="SimSun" w:hint="eastAsia"/>
          <w:b/>
          <w:bCs/>
          <w:lang w:eastAsia="zh-CN"/>
        </w:rPr>
        <w:t>手册五</w:t>
      </w:r>
      <w:r w:rsidR="008A4F27" w:rsidRPr="00072D28">
        <w:rPr>
          <w:b/>
          <w:bCs/>
        </w:rPr>
        <w:t xml:space="preserve"> – </w:t>
      </w:r>
      <w:r w:rsidR="00013C6E">
        <w:rPr>
          <w:rFonts w:hint="eastAsia"/>
          <w:b/>
          <w:bCs/>
          <w:lang w:eastAsia="zh-CN"/>
        </w:rPr>
        <w:t>生活</w:t>
      </w:r>
      <w:r w:rsidR="00512A08">
        <w:rPr>
          <w:rFonts w:hint="eastAsia"/>
          <w:b/>
          <w:bCs/>
          <w:lang w:eastAsia="zh-CN"/>
        </w:rPr>
        <w:t>费</w:t>
      </w:r>
    </w:p>
    <w:p w14:paraId="720ABE07" w14:textId="77777777" w:rsidR="00640449" w:rsidRDefault="00640449" w:rsidP="0064234E">
      <w:pPr>
        <w:autoSpaceDE w:val="0"/>
        <w:autoSpaceDN w:val="0"/>
        <w:adjustRightInd w:val="0"/>
        <w:outlineLvl w:val="0"/>
        <w:rPr>
          <w:b/>
          <w:bCs/>
        </w:rPr>
      </w:pPr>
    </w:p>
    <w:tbl>
      <w:tblPr>
        <w:tblStyle w:val="TableGrid"/>
        <w:tblW w:w="0" w:type="auto"/>
        <w:tblLook w:val="04A0" w:firstRow="1" w:lastRow="0" w:firstColumn="1" w:lastColumn="0" w:noHBand="0" w:noVBand="1"/>
      </w:tblPr>
      <w:tblGrid>
        <w:gridCol w:w="8856"/>
      </w:tblGrid>
      <w:tr w:rsidR="00640449" w14:paraId="3E69D1D2" w14:textId="77777777" w:rsidTr="00640449">
        <w:tc>
          <w:tcPr>
            <w:tcW w:w="8856" w:type="dxa"/>
          </w:tcPr>
          <w:p w14:paraId="7097875F" w14:textId="34D43076" w:rsidR="00512A08" w:rsidRDefault="00013C6E" w:rsidP="0064234E">
            <w:pPr>
              <w:autoSpaceDE w:val="0"/>
              <w:autoSpaceDN w:val="0"/>
              <w:adjustRightInd w:val="0"/>
              <w:outlineLvl w:val="0"/>
              <w:rPr>
                <w:b/>
                <w:bCs/>
                <w:lang w:eastAsia="zh-CN"/>
              </w:rPr>
            </w:pPr>
            <w:r>
              <w:rPr>
                <w:rFonts w:hint="eastAsia"/>
                <w:b/>
                <w:bCs/>
                <w:lang w:eastAsia="zh-CN"/>
              </w:rPr>
              <w:t>生活</w:t>
            </w:r>
            <w:r w:rsidR="007879BC">
              <w:rPr>
                <w:rFonts w:hint="eastAsia"/>
                <w:b/>
                <w:bCs/>
                <w:lang w:eastAsia="zh-CN"/>
              </w:rPr>
              <w:t>费</w:t>
            </w:r>
            <w:r w:rsidR="00DA0211">
              <w:rPr>
                <w:rFonts w:hint="eastAsia"/>
                <w:b/>
                <w:bCs/>
                <w:lang w:eastAsia="zh-CN"/>
              </w:rPr>
              <w:t>是</w:t>
            </w:r>
            <w:r w:rsidR="007879BC">
              <w:rPr>
                <w:rFonts w:hint="eastAsia"/>
                <w:b/>
                <w:bCs/>
                <w:lang w:eastAsia="zh-CN"/>
              </w:rPr>
              <w:t>一方支付给另一方（通常是前任配偶或伴侣，或者共同子女）</w:t>
            </w:r>
            <w:r w:rsidR="007A6C6F">
              <w:rPr>
                <w:rFonts w:hint="eastAsia"/>
                <w:b/>
                <w:bCs/>
                <w:lang w:eastAsia="zh-CN"/>
              </w:rPr>
              <w:t>的经济援助</w:t>
            </w:r>
            <w:r w:rsidR="007879BC">
              <w:rPr>
                <w:rFonts w:hint="eastAsia"/>
                <w:b/>
                <w:bCs/>
                <w:lang w:eastAsia="zh-CN"/>
              </w:rPr>
              <w:t>。如果子女接收政府监管，儿童和家庭服务机构也可以申请生活费。</w:t>
            </w:r>
          </w:p>
          <w:p w14:paraId="297203F3" w14:textId="77777777" w:rsidR="007879BC" w:rsidRDefault="007879BC" w:rsidP="0064234E">
            <w:pPr>
              <w:autoSpaceDE w:val="0"/>
              <w:autoSpaceDN w:val="0"/>
              <w:adjustRightInd w:val="0"/>
              <w:outlineLvl w:val="0"/>
              <w:rPr>
                <w:b/>
                <w:bCs/>
                <w:lang w:eastAsia="zh-CN"/>
              </w:rPr>
            </w:pPr>
          </w:p>
          <w:p w14:paraId="3F4065C7" w14:textId="47E71F72" w:rsidR="007879BC" w:rsidRDefault="007879BC" w:rsidP="0064234E">
            <w:pPr>
              <w:autoSpaceDE w:val="0"/>
              <w:autoSpaceDN w:val="0"/>
              <w:adjustRightInd w:val="0"/>
              <w:outlineLvl w:val="0"/>
              <w:rPr>
                <w:b/>
                <w:bCs/>
                <w:lang w:eastAsia="zh-CN"/>
              </w:rPr>
            </w:pPr>
            <w:r>
              <w:rPr>
                <w:rFonts w:hint="eastAsia"/>
                <w:b/>
                <w:bCs/>
                <w:lang w:eastAsia="zh-CN"/>
              </w:rPr>
              <w:t>此手册主要介绍法庭下达的生活费的法令。您也可以在庭下达成关于生活费的协议，比如通过分居协议或者其他非官方协议。</w:t>
            </w:r>
          </w:p>
          <w:p w14:paraId="79DD6B49" w14:textId="08AE2B70" w:rsidR="003A483E" w:rsidRDefault="003A483E" w:rsidP="0064234E">
            <w:pPr>
              <w:autoSpaceDE w:val="0"/>
              <w:autoSpaceDN w:val="0"/>
              <w:adjustRightInd w:val="0"/>
              <w:outlineLvl w:val="0"/>
              <w:rPr>
                <w:b/>
                <w:bCs/>
                <w:lang w:eastAsia="zh-CN"/>
              </w:rPr>
            </w:pPr>
          </w:p>
        </w:tc>
      </w:tr>
    </w:tbl>
    <w:p w14:paraId="7CA33A54" w14:textId="77777777" w:rsidR="00640449" w:rsidRDefault="00640449" w:rsidP="0064234E">
      <w:pPr>
        <w:autoSpaceDE w:val="0"/>
        <w:autoSpaceDN w:val="0"/>
        <w:adjustRightInd w:val="0"/>
        <w:outlineLvl w:val="0"/>
        <w:rPr>
          <w:b/>
          <w:bCs/>
          <w:lang w:eastAsia="zh-CN"/>
        </w:rPr>
      </w:pPr>
    </w:p>
    <w:p w14:paraId="1D01AEF0" w14:textId="77777777" w:rsidR="00640449" w:rsidRDefault="00640449" w:rsidP="0064234E">
      <w:pPr>
        <w:autoSpaceDE w:val="0"/>
        <w:autoSpaceDN w:val="0"/>
        <w:adjustRightInd w:val="0"/>
        <w:outlineLvl w:val="0"/>
        <w:rPr>
          <w:b/>
          <w:bCs/>
          <w:lang w:eastAsia="zh-CN"/>
        </w:rPr>
      </w:pPr>
    </w:p>
    <w:p w14:paraId="64A101EE" w14:textId="0DA922CA" w:rsidR="009A57AC" w:rsidRPr="00072D28" w:rsidRDefault="00396277" w:rsidP="0064234E">
      <w:pPr>
        <w:autoSpaceDE w:val="0"/>
        <w:autoSpaceDN w:val="0"/>
        <w:adjustRightInd w:val="0"/>
        <w:outlineLvl w:val="0"/>
        <w:rPr>
          <w:b/>
          <w:bCs/>
          <w:lang w:eastAsia="zh-CN"/>
        </w:rPr>
      </w:pPr>
      <w:r>
        <w:rPr>
          <w:rFonts w:hint="eastAsia"/>
          <w:b/>
          <w:bCs/>
          <w:lang w:eastAsia="zh-CN"/>
        </w:rPr>
        <w:t>什么是生活费？</w:t>
      </w:r>
    </w:p>
    <w:p w14:paraId="1CFB7F2D" w14:textId="692F7AA2" w:rsidR="007A6C6F" w:rsidRDefault="00022219" w:rsidP="0064234E">
      <w:pPr>
        <w:autoSpaceDE w:val="0"/>
        <w:autoSpaceDN w:val="0"/>
        <w:adjustRightInd w:val="0"/>
        <w:rPr>
          <w:lang w:eastAsia="zh-CN"/>
        </w:rPr>
      </w:pPr>
      <w:r>
        <w:rPr>
          <w:rFonts w:hint="eastAsia"/>
          <w:lang w:eastAsia="zh-CN"/>
        </w:rPr>
        <w:t>配偶或伴侣需要基于谋生手段和</w:t>
      </w:r>
      <w:r w:rsidR="00C34E1D">
        <w:rPr>
          <w:rFonts w:hint="eastAsia"/>
          <w:lang w:eastAsia="zh-CN"/>
        </w:rPr>
        <w:t>生活</w:t>
      </w:r>
      <w:r>
        <w:rPr>
          <w:rFonts w:hint="eastAsia"/>
          <w:lang w:eastAsia="zh-CN"/>
        </w:rPr>
        <w:t>需求给予对方经济支持。生活费是</w:t>
      </w:r>
    </w:p>
    <w:p w14:paraId="521AA119" w14:textId="0C29F328" w:rsidR="00022219" w:rsidRDefault="00022219" w:rsidP="0064234E">
      <w:pPr>
        <w:autoSpaceDE w:val="0"/>
        <w:autoSpaceDN w:val="0"/>
        <w:adjustRightInd w:val="0"/>
        <w:rPr>
          <w:lang w:eastAsia="zh-CN"/>
        </w:rPr>
      </w:pPr>
      <w:r>
        <w:rPr>
          <w:rFonts w:hint="eastAsia"/>
          <w:lang w:eastAsia="zh-CN"/>
        </w:rPr>
        <w:t>一方支付给另一方</w:t>
      </w:r>
      <w:r w:rsidR="00DC11F6">
        <w:rPr>
          <w:rFonts w:hint="eastAsia"/>
          <w:lang w:eastAsia="zh-CN"/>
        </w:rPr>
        <w:t>的经济援助，为配偶或伴侣以及</w:t>
      </w:r>
      <w:r w:rsidR="003A47CF">
        <w:rPr>
          <w:rFonts w:hint="eastAsia"/>
          <w:lang w:eastAsia="zh-CN"/>
        </w:rPr>
        <w:t>共同</w:t>
      </w:r>
      <w:r w:rsidR="00DC11F6">
        <w:rPr>
          <w:rFonts w:hint="eastAsia"/>
          <w:lang w:eastAsia="zh-CN"/>
        </w:rPr>
        <w:t>子女提供经济支持。</w:t>
      </w:r>
    </w:p>
    <w:p w14:paraId="50F81BCE" w14:textId="77777777" w:rsidR="00640449" w:rsidRDefault="00640449" w:rsidP="0064234E">
      <w:pPr>
        <w:autoSpaceDE w:val="0"/>
        <w:autoSpaceDN w:val="0"/>
        <w:adjustRightInd w:val="0"/>
        <w:rPr>
          <w:lang w:eastAsia="zh-CN"/>
        </w:rPr>
      </w:pPr>
    </w:p>
    <w:p w14:paraId="594F88F3" w14:textId="2188C9A9" w:rsidR="00940D76" w:rsidRPr="00072D28" w:rsidRDefault="00DC11F6" w:rsidP="0064234E">
      <w:pPr>
        <w:autoSpaceDE w:val="0"/>
        <w:autoSpaceDN w:val="0"/>
        <w:adjustRightInd w:val="0"/>
        <w:rPr>
          <w:lang w:eastAsia="zh-CN"/>
        </w:rPr>
      </w:pPr>
      <w:r>
        <w:rPr>
          <w:rFonts w:hint="eastAsia"/>
          <w:b/>
          <w:lang w:eastAsia="zh-CN"/>
        </w:rPr>
        <w:t>我和我的配偶或伴侣一起生活，我可以申请向其索取生活费吗？</w:t>
      </w:r>
    </w:p>
    <w:p w14:paraId="5B45A752" w14:textId="147E6A6B" w:rsidR="00940D76" w:rsidRPr="00072D28" w:rsidRDefault="00DC11F6" w:rsidP="0064234E">
      <w:pPr>
        <w:autoSpaceDE w:val="0"/>
        <w:autoSpaceDN w:val="0"/>
        <w:adjustRightInd w:val="0"/>
        <w:rPr>
          <w:lang w:eastAsia="zh-CN"/>
        </w:rPr>
      </w:pPr>
      <w:r>
        <w:rPr>
          <w:rFonts w:hint="eastAsia"/>
          <w:lang w:eastAsia="zh-CN"/>
        </w:rPr>
        <w:t>当您和配偶或伴侣一起生活时，您也可以申请其支付生活费。</w:t>
      </w:r>
    </w:p>
    <w:p w14:paraId="1A30D4DA" w14:textId="77777777" w:rsidR="00640449" w:rsidRDefault="00640449" w:rsidP="0064234E">
      <w:pPr>
        <w:autoSpaceDE w:val="0"/>
        <w:autoSpaceDN w:val="0"/>
        <w:adjustRightInd w:val="0"/>
        <w:rPr>
          <w:b/>
          <w:lang w:eastAsia="zh-CN"/>
        </w:rPr>
      </w:pPr>
    </w:p>
    <w:p w14:paraId="5E625D6D" w14:textId="02230C45" w:rsidR="00C4225E" w:rsidRPr="00072D28" w:rsidRDefault="00DC11F6" w:rsidP="0064234E">
      <w:pPr>
        <w:autoSpaceDE w:val="0"/>
        <w:autoSpaceDN w:val="0"/>
        <w:adjustRightInd w:val="0"/>
        <w:rPr>
          <w:b/>
          <w:lang w:eastAsia="zh-CN"/>
        </w:rPr>
      </w:pPr>
      <w:r>
        <w:rPr>
          <w:rFonts w:hint="eastAsia"/>
          <w:b/>
          <w:lang w:eastAsia="zh-CN"/>
        </w:rPr>
        <w:t>如果我和我的前任伴侣没有结婚，我可以向其索要生活费吗？</w:t>
      </w:r>
    </w:p>
    <w:p w14:paraId="7EA6FB35" w14:textId="514AF313" w:rsidR="00C4225E" w:rsidRPr="00072D28" w:rsidRDefault="00DC11F6" w:rsidP="0064234E">
      <w:pPr>
        <w:autoSpaceDE w:val="0"/>
        <w:autoSpaceDN w:val="0"/>
        <w:adjustRightInd w:val="0"/>
        <w:rPr>
          <w:lang w:eastAsia="zh-CN"/>
        </w:rPr>
      </w:pPr>
      <w:r>
        <w:rPr>
          <w:rFonts w:hint="eastAsia"/>
          <w:lang w:eastAsia="zh-CN"/>
        </w:rPr>
        <w:t>在这种情况下，您只可以申请</w:t>
      </w:r>
      <w:r w:rsidR="00B2123E">
        <w:rPr>
          <w:rFonts w:hint="eastAsia"/>
          <w:lang w:eastAsia="zh-CN"/>
        </w:rPr>
        <w:t>共同子女的抚养费。</w:t>
      </w:r>
    </w:p>
    <w:p w14:paraId="67000D92" w14:textId="77777777" w:rsidR="00640449" w:rsidRDefault="00640449" w:rsidP="0064234E">
      <w:pPr>
        <w:autoSpaceDE w:val="0"/>
        <w:autoSpaceDN w:val="0"/>
        <w:adjustRightInd w:val="0"/>
        <w:rPr>
          <w:lang w:eastAsia="zh-CN"/>
        </w:rPr>
      </w:pPr>
    </w:p>
    <w:p w14:paraId="3C285A79" w14:textId="5A9298AA" w:rsidR="00EB58CA" w:rsidRDefault="00EB58CA" w:rsidP="0064234E">
      <w:pPr>
        <w:autoSpaceDE w:val="0"/>
        <w:autoSpaceDN w:val="0"/>
        <w:adjustRightInd w:val="0"/>
        <w:rPr>
          <w:lang w:eastAsia="zh-CN"/>
        </w:rPr>
      </w:pPr>
      <w:r>
        <w:rPr>
          <w:rFonts w:hint="eastAsia"/>
          <w:lang w:eastAsia="zh-CN"/>
        </w:rPr>
        <w:t>然而，如果您是“合法同居者”，您可能可以申请</w:t>
      </w:r>
      <w:r w:rsidR="00D12468">
        <w:rPr>
          <w:rFonts w:hint="eastAsia"/>
          <w:lang w:eastAsia="zh-CN"/>
        </w:rPr>
        <w:t>用于</w:t>
      </w:r>
      <w:r>
        <w:rPr>
          <w:rFonts w:hint="eastAsia"/>
          <w:lang w:eastAsia="zh-CN"/>
        </w:rPr>
        <w:t>支持您自己生活的生活费。作为“合法同居者”，如果你们有共同子女，你们必须一起生活至少两年；如果没有共同子女，你们必须一起生活至少五年。此外，您和您的前任伴侣不能与他人处于婚姻关系，如果你们中的一方已经结婚，已婚一方必须已经与其配偶在过去的五年中分开生活至少四年。详情请参见</w:t>
      </w:r>
      <w:r w:rsidRPr="00EB58CA">
        <w:rPr>
          <w:rFonts w:hint="eastAsia"/>
          <w:b/>
          <w:lang w:eastAsia="zh-CN"/>
        </w:rPr>
        <w:t>手册十四</w:t>
      </w:r>
      <w:r w:rsidRPr="00EB58CA">
        <w:rPr>
          <w:rFonts w:hint="eastAsia"/>
          <w:b/>
          <w:lang w:eastAsia="zh-CN"/>
        </w:rPr>
        <w:t>-</w:t>
      </w:r>
      <w:r w:rsidRPr="00EB58CA">
        <w:rPr>
          <w:rFonts w:hint="eastAsia"/>
          <w:b/>
          <w:lang w:eastAsia="zh-CN"/>
        </w:rPr>
        <w:t>同居者的权利</w:t>
      </w:r>
      <w:r>
        <w:rPr>
          <w:rFonts w:hint="eastAsia"/>
          <w:lang w:eastAsia="zh-CN"/>
        </w:rPr>
        <w:t>。</w:t>
      </w:r>
    </w:p>
    <w:p w14:paraId="1E03E716" w14:textId="77777777" w:rsidR="00773ECD" w:rsidRDefault="00773ECD" w:rsidP="0064234E">
      <w:pPr>
        <w:autoSpaceDE w:val="0"/>
        <w:autoSpaceDN w:val="0"/>
        <w:adjustRightInd w:val="0"/>
        <w:rPr>
          <w:lang w:eastAsia="zh-CN"/>
        </w:rPr>
      </w:pPr>
    </w:p>
    <w:p w14:paraId="5E1FBCAD" w14:textId="079B4ADE" w:rsidR="00343420" w:rsidRPr="00072D28" w:rsidRDefault="00773ECD" w:rsidP="0064234E">
      <w:pPr>
        <w:autoSpaceDE w:val="0"/>
        <w:autoSpaceDN w:val="0"/>
        <w:adjustRightInd w:val="0"/>
        <w:rPr>
          <w:b/>
          <w:lang w:eastAsia="zh-CN"/>
        </w:rPr>
      </w:pPr>
      <w:r>
        <w:rPr>
          <w:rFonts w:hint="eastAsia"/>
          <w:b/>
          <w:lang w:eastAsia="zh-CN"/>
        </w:rPr>
        <w:t>谁来支付子女的抚养费？</w:t>
      </w:r>
    </w:p>
    <w:p w14:paraId="02963070" w14:textId="0B530617" w:rsidR="00940D76" w:rsidRPr="00072D28" w:rsidRDefault="00773ECD" w:rsidP="0064234E">
      <w:pPr>
        <w:autoSpaceDE w:val="0"/>
        <w:autoSpaceDN w:val="0"/>
        <w:adjustRightInd w:val="0"/>
        <w:rPr>
          <w:lang w:eastAsia="zh-CN"/>
        </w:rPr>
      </w:pPr>
      <w:r>
        <w:rPr>
          <w:rFonts w:hint="eastAsia"/>
          <w:lang w:eastAsia="zh-CN"/>
        </w:rPr>
        <w:t>无论结婚与否，父母双方都有支付抚养费的义务。</w:t>
      </w:r>
    </w:p>
    <w:p w14:paraId="56CCE844" w14:textId="77777777" w:rsidR="00640449" w:rsidRDefault="00640449" w:rsidP="0064234E">
      <w:pPr>
        <w:autoSpaceDE w:val="0"/>
        <w:autoSpaceDN w:val="0"/>
        <w:adjustRightInd w:val="0"/>
        <w:rPr>
          <w:b/>
          <w:lang w:eastAsia="zh-CN"/>
        </w:rPr>
      </w:pPr>
    </w:p>
    <w:p w14:paraId="0DF75FA9" w14:textId="28C91761" w:rsidR="00E260BA" w:rsidRPr="00072D28" w:rsidRDefault="00807158" w:rsidP="0064234E">
      <w:pPr>
        <w:autoSpaceDE w:val="0"/>
        <w:autoSpaceDN w:val="0"/>
        <w:adjustRightInd w:val="0"/>
        <w:rPr>
          <w:b/>
          <w:lang w:eastAsia="zh-CN"/>
        </w:rPr>
      </w:pPr>
      <w:r>
        <w:rPr>
          <w:rFonts w:hint="eastAsia"/>
          <w:b/>
          <w:lang w:eastAsia="zh-CN"/>
        </w:rPr>
        <w:t>谁可以申请子女的抚养费？</w:t>
      </w:r>
    </w:p>
    <w:p w14:paraId="2543089A" w14:textId="4E28ADCC" w:rsidR="00807158" w:rsidRDefault="00807158" w:rsidP="00AD3BCB">
      <w:pPr>
        <w:rPr>
          <w:lang w:eastAsia="zh-CN"/>
        </w:rPr>
      </w:pPr>
      <w:r>
        <w:rPr>
          <w:rFonts w:hint="eastAsia"/>
          <w:lang w:eastAsia="zh-CN"/>
        </w:rPr>
        <w:t>父母，法定监护人，儿童和家庭服务机构（</w:t>
      </w:r>
      <w:r w:rsidRPr="005D69DB">
        <w:rPr>
          <w:color w:val="222222"/>
          <w:lang w:eastAsia="zh-CN"/>
        </w:rPr>
        <w:t>Tusla</w:t>
      </w:r>
      <w:r>
        <w:rPr>
          <w:rFonts w:hint="eastAsia"/>
          <w:lang w:eastAsia="zh-CN"/>
        </w:rPr>
        <w:t>），或者任何与儿童有合法关系的人都可以申请儿童的抚养费。</w:t>
      </w:r>
    </w:p>
    <w:p w14:paraId="173ED62D" w14:textId="77777777" w:rsidR="00AD3BCB" w:rsidRPr="00072D28" w:rsidRDefault="00AD3BCB" w:rsidP="00AD3BCB">
      <w:pPr>
        <w:rPr>
          <w:lang w:eastAsia="zh-CN"/>
        </w:rPr>
      </w:pPr>
    </w:p>
    <w:p w14:paraId="60AB403B" w14:textId="0EB9816B" w:rsidR="006F61BF" w:rsidRPr="00072D28" w:rsidRDefault="00A84B63" w:rsidP="0064234E">
      <w:pPr>
        <w:autoSpaceDE w:val="0"/>
        <w:autoSpaceDN w:val="0"/>
        <w:adjustRightInd w:val="0"/>
        <w:rPr>
          <w:lang w:eastAsia="zh-CN"/>
        </w:rPr>
      </w:pPr>
      <w:r>
        <w:rPr>
          <w:rFonts w:hint="eastAsia"/>
          <w:lang w:eastAsia="zh-CN"/>
        </w:rPr>
        <w:t>被抚养子女</w:t>
      </w:r>
      <w:r w:rsidR="00414656">
        <w:rPr>
          <w:rFonts w:hint="eastAsia"/>
          <w:lang w:eastAsia="zh-CN"/>
        </w:rPr>
        <w:t>须满足以下条件</w:t>
      </w:r>
      <w:r w:rsidR="006F61BF" w:rsidRPr="00072D28">
        <w:rPr>
          <w:lang w:eastAsia="zh-CN"/>
        </w:rPr>
        <w:t>:</w:t>
      </w:r>
    </w:p>
    <w:p w14:paraId="24CC0701" w14:textId="097A3687" w:rsidR="006F61BF" w:rsidRPr="00072D28" w:rsidRDefault="00414656" w:rsidP="00592F6E">
      <w:pPr>
        <w:numPr>
          <w:ilvl w:val="0"/>
          <w:numId w:val="4"/>
        </w:numPr>
        <w:autoSpaceDE w:val="0"/>
        <w:autoSpaceDN w:val="0"/>
        <w:adjustRightInd w:val="0"/>
      </w:pPr>
      <w:r>
        <w:rPr>
          <w:rFonts w:hint="eastAsia"/>
          <w:lang w:eastAsia="zh-CN"/>
        </w:rPr>
        <w:t>未满十八周岁的儿童；</w:t>
      </w:r>
    </w:p>
    <w:p w14:paraId="42357699" w14:textId="6F26A28C" w:rsidR="006F61BF" w:rsidRPr="00072D28" w:rsidRDefault="00414656" w:rsidP="00592F6E">
      <w:pPr>
        <w:numPr>
          <w:ilvl w:val="0"/>
          <w:numId w:val="4"/>
        </w:numPr>
        <w:autoSpaceDE w:val="0"/>
        <w:autoSpaceDN w:val="0"/>
        <w:adjustRightInd w:val="0"/>
        <w:rPr>
          <w:lang w:eastAsia="zh-CN"/>
        </w:rPr>
      </w:pPr>
      <w:r>
        <w:rPr>
          <w:rFonts w:hint="eastAsia"/>
          <w:lang w:eastAsia="zh-CN"/>
        </w:rPr>
        <w:t>未满二十三岁周岁的全职学生；或者</w:t>
      </w:r>
    </w:p>
    <w:p w14:paraId="43CC7CC5" w14:textId="32908713" w:rsidR="00640449" w:rsidRPr="00414656" w:rsidRDefault="00414656" w:rsidP="0064234E">
      <w:pPr>
        <w:numPr>
          <w:ilvl w:val="0"/>
          <w:numId w:val="4"/>
        </w:numPr>
        <w:autoSpaceDE w:val="0"/>
        <w:autoSpaceDN w:val="0"/>
        <w:adjustRightInd w:val="0"/>
        <w:outlineLvl w:val="0"/>
        <w:rPr>
          <w:b/>
          <w:bCs/>
          <w:lang w:eastAsia="zh-CN"/>
        </w:rPr>
      </w:pPr>
      <w:r>
        <w:rPr>
          <w:rFonts w:hint="eastAsia"/>
          <w:lang w:eastAsia="zh-CN"/>
        </w:rPr>
        <w:t>有残疾的，需要父母照顾的子女。</w:t>
      </w:r>
    </w:p>
    <w:p w14:paraId="22DD977B" w14:textId="77777777" w:rsidR="00033E74" w:rsidRDefault="00033E74" w:rsidP="0064234E">
      <w:pPr>
        <w:autoSpaceDE w:val="0"/>
        <w:autoSpaceDN w:val="0"/>
        <w:adjustRightInd w:val="0"/>
        <w:outlineLvl w:val="0"/>
        <w:rPr>
          <w:b/>
          <w:bCs/>
          <w:lang w:eastAsia="zh-CN"/>
        </w:rPr>
      </w:pPr>
    </w:p>
    <w:p w14:paraId="16DB6BDC" w14:textId="4F57AE5E" w:rsidR="009E0679" w:rsidRPr="00072D28" w:rsidRDefault="00033E74" w:rsidP="0064234E">
      <w:pPr>
        <w:autoSpaceDE w:val="0"/>
        <w:autoSpaceDN w:val="0"/>
        <w:adjustRightInd w:val="0"/>
        <w:outlineLvl w:val="0"/>
        <w:rPr>
          <w:b/>
          <w:bCs/>
          <w:lang w:eastAsia="zh-CN"/>
        </w:rPr>
      </w:pPr>
      <w:r>
        <w:rPr>
          <w:rFonts w:hint="eastAsia"/>
          <w:b/>
          <w:bCs/>
          <w:lang w:eastAsia="zh-CN"/>
        </w:rPr>
        <w:t>如果我们无法就生活费达成共识，我应该怎么做？</w:t>
      </w:r>
    </w:p>
    <w:p w14:paraId="190F0F87" w14:textId="22FBFB25" w:rsidR="00AE61F3" w:rsidRDefault="00AE61F3" w:rsidP="0064234E">
      <w:pPr>
        <w:autoSpaceDE w:val="0"/>
        <w:autoSpaceDN w:val="0"/>
        <w:adjustRightInd w:val="0"/>
        <w:rPr>
          <w:lang w:eastAsia="zh-CN"/>
        </w:rPr>
      </w:pPr>
      <w:r>
        <w:rPr>
          <w:rFonts w:hint="eastAsia"/>
          <w:lang w:eastAsia="zh-CN"/>
        </w:rPr>
        <w:t>在这种情况下，您需要向法院申请。您可以向地区法院或者巡回法院提出申请。</w:t>
      </w:r>
      <w:r w:rsidR="007676AE">
        <w:rPr>
          <w:rFonts w:hint="eastAsia"/>
          <w:lang w:eastAsia="zh-CN"/>
        </w:rPr>
        <w:t>根据您所要的生活费的</w:t>
      </w:r>
      <w:r w:rsidR="007676AE" w:rsidRPr="007676AE">
        <w:rPr>
          <w:rFonts w:hint="eastAsia"/>
          <w:b/>
          <w:lang w:eastAsia="zh-CN"/>
        </w:rPr>
        <w:t>额度</w:t>
      </w:r>
      <w:r w:rsidR="007676AE">
        <w:rPr>
          <w:rFonts w:hint="eastAsia"/>
          <w:lang w:eastAsia="zh-CN"/>
        </w:rPr>
        <w:t>，您需要选择向不同的法院提出申请。</w:t>
      </w:r>
    </w:p>
    <w:p w14:paraId="06A624E1" w14:textId="67FDA050" w:rsidR="00640449" w:rsidRPr="007676AE" w:rsidRDefault="00640449" w:rsidP="0064234E">
      <w:pPr>
        <w:autoSpaceDE w:val="0"/>
        <w:autoSpaceDN w:val="0"/>
        <w:adjustRightInd w:val="0"/>
        <w:rPr>
          <w:lang w:eastAsia="zh-CN"/>
        </w:rPr>
      </w:pPr>
    </w:p>
    <w:p w14:paraId="2EE175ED" w14:textId="62CD3FB5" w:rsidR="006A2E52" w:rsidRPr="00072D28" w:rsidRDefault="0064513F" w:rsidP="0064234E">
      <w:pPr>
        <w:autoSpaceDE w:val="0"/>
        <w:autoSpaceDN w:val="0"/>
        <w:adjustRightInd w:val="0"/>
        <w:rPr>
          <w:b/>
          <w:lang w:eastAsia="zh-CN"/>
        </w:rPr>
      </w:pPr>
      <w:r>
        <w:rPr>
          <w:rFonts w:hint="eastAsia"/>
          <w:b/>
          <w:lang w:eastAsia="zh-CN"/>
        </w:rPr>
        <w:t>地区法院</w:t>
      </w:r>
      <w:r w:rsidR="006A2E52" w:rsidRPr="00072D28">
        <w:rPr>
          <w:b/>
          <w:lang w:eastAsia="zh-CN"/>
        </w:rPr>
        <w:t xml:space="preserve"> </w:t>
      </w:r>
    </w:p>
    <w:p w14:paraId="1A75C2B1" w14:textId="420EF003" w:rsidR="009E0679" w:rsidRPr="00072D28" w:rsidRDefault="007F6458" w:rsidP="0064234E">
      <w:pPr>
        <w:autoSpaceDE w:val="0"/>
        <w:autoSpaceDN w:val="0"/>
        <w:adjustRightInd w:val="0"/>
        <w:rPr>
          <w:lang w:eastAsia="zh-CN"/>
        </w:rPr>
      </w:pPr>
      <w:r>
        <w:rPr>
          <w:rFonts w:hint="eastAsia"/>
          <w:lang w:eastAsia="zh-CN"/>
        </w:rPr>
        <w:lastRenderedPageBreak/>
        <w:t>在现阶段，地区法院可以颁发给配偶或伴侣每周不超过</w:t>
      </w:r>
      <w:r w:rsidRPr="00072D28">
        <w:rPr>
          <w:lang w:eastAsia="zh-CN"/>
        </w:rPr>
        <w:t>€500.00</w:t>
      </w:r>
      <w:r>
        <w:rPr>
          <w:rFonts w:hint="eastAsia"/>
          <w:lang w:eastAsia="zh-CN"/>
        </w:rPr>
        <w:t>的生活费，以及给每一名子女每周不超过</w:t>
      </w:r>
      <w:r w:rsidRPr="00072D28">
        <w:rPr>
          <w:lang w:eastAsia="zh-CN"/>
        </w:rPr>
        <w:t xml:space="preserve">€150.00 </w:t>
      </w:r>
      <w:r>
        <w:rPr>
          <w:rFonts w:hint="eastAsia"/>
          <w:lang w:eastAsia="zh-CN"/>
        </w:rPr>
        <w:t>的抚养费。</w:t>
      </w:r>
    </w:p>
    <w:p w14:paraId="32BABF9E" w14:textId="77777777" w:rsidR="00640449" w:rsidRDefault="00640449" w:rsidP="0064234E">
      <w:pPr>
        <w:autoSpaceDE w:val="0"/>
        <w:autoSpaceDN w:val="0"/>
        <w:adjustRightInd w:val="0"/>
        <w:rPr>
          <w:b/>
          <w:lang w:eastAsia="zh-CN"/>
        </w:rPr>
      </w:pPr>
    </w:p>
    <w:p w14:paraId="4155D688" w14:textId="67DBA4C0" w:rsidR="009E0679" w:rsidRDefault="006668AB" w:rsidP="0064234E">
      <w:pPr>
        <w:autoSpaceDE w:val="0"/>
        <w:autoSpaceDN w:val="0"/>
        <w:adjustRightInd w:val="0"/>
        <w:rPr>
          <w:b/>
          <w:lang w:eastAsia="zh-CN"/>
        </w:rPr>
      </w:pPr>
      <w:r>
        <w:rPr>
          <w:rFonts w:hint="eastAsia"/>
          <w:b/>
          <w:lang w:eastAsia="zh-CN"/>
        </w:rPr>
        <w:t>巡回法院</w:t>
      </w:r>
    </w:p>
    <w:p w14:paraId="485D5DD9" w14:textId="2F2EB740" w:rsidR="006668AB" w:rsidRDefault="006668AB" w:rsidP="0064234E">
      <w:pPr>
        <w:autoSpaceDE w:val="0"/>
        <w:autoSpaceDN w:val="0"/>
        <w:adjustRightInd w:val="0"/>
        <w:rPr>
          <w:lang w:eastAsia="zh-CN"/>
        </w:rPr>
      </w:pPr>
      <w:r>
        <w:rPr>
          <w:rFonts w:hint="eastAsia"/>
          <w:lang w:eastAsia="zh-CN"/>
        </w:rPr>
        <w:t>如果您作为配偶或伴侣，要求每周获得的生活费高于</w:t>
      </w:r>
      <w:r w:rsidRPr="00072D28">
        <w:rPr>
          <w:lang w:eastAsia="zh-CN"/>
        </w:rPr>
        <w:t>€500.00</w:t>
      </w:r>
      <w:r>
        <w:rPr>
          <w:rFonts w:hint="eastAsia"/>
          <w:lang w:eastAsia="zh-CN"/>
        </w:rPr>
        <w:t>，以及每周给每一名子女的抚养费超过</w:t>
      </w:r>
      <w:r w:rsidRPr="00072D28">
        <w:rPr>
          <w:lang w:eastAsia="zh-CN"/>
        </w:rPr>
        <w:t>€150.00</w:t>
      </w:r>
      <w:r>
        <w:rPr>
          <w:rFonts w:hint="eastAsia"/>
          <w:lang w:eastAsia="zh-CN"/>
        </w:rPr>
        <w:t>，您必须向巡回法院提出申请。</w:t>
      </w:r>
    </w:p>
    <w:p w14:paraId="3A64B686" w14:textId="77777777" w:rsidR="00640449" w:rsidRDefault="00640449" w:rsidP="0064234E">
      <w:pPr>
        <w:autoSpaceDE w:val="0"/>
        <w:autoSpaceDN w:val="0"/>
        <w:adjustRightInd w:val="0"/>
        <w:rPr>
          <w:b/>
          <w:lang w:eastAsia="zh-CN"/>
        </w:rPr>
      </w:pPr>
    </w:p>
    <w:p w14:paraId="44BB1177" w14:textId="57EF93F9" w:rsidR="00F54876" w:rsidRPr="00072D28" w:rsidRDefault="00AD71AC" w:rsidP="0064234E">
      <w:pPr>
        <w:autoSpaceDE w:val="0"/>
        <w:autoSpaceDN w:val="0"/>
        <w:adjustRightInd w:val="0"/>
        <w:rPr>
          <w:b/>
          <w:lang w:eastAsia="zh-CN"/>
        </w:rPr>
      </w:pPr>
      <w:r>
        <w:rPr>
          <w:rFonts w:hint="eastAsia"/>
          <w:b/>
          <w:lang w:eastAsia="zh-CN"/>
        </w:rPr>
        <w:t>地区法院和巡回法院可以判定一次性支付生活费吗？</w:t>
      </w:r>
    </w:p>
    <w:p w14:paraId="5799D374" w14:textId="7781DA7D" w:rsidR="00794940" w:rsidRDefault="00806541" w:rsidP="0064234E">
      <w:pPr>
        <w:autoSpaceDE w:val="0"/>
        <w:autoSpaceDN w:val="0"/>
        <w:adjustRightInd w:val="0"/>
        <w:rPr>
          <w:lang w:eastAsia="zh-CN"/>
        </w:rPr>
      </w:pPr>
      <w:r>
        <w:rPr>
          <w:rFonts w:hint="eastAsia"/>
          <w:lang w:eastAsia="zh-CN"/>
        </w:rPr>
        <w:t>地区法院和巡回法院都可以判定一次性支付生活费，但是在现阶段，地区法院判定的一次性支付生活费不能超过</w:t>
      </w:r>
      <w:r w:rsidR="00940D76" w:rsidRPr="00072D28">
        <w:rPr>
          <w:lang w:eastAsia="zh-CN"/>
        </w:rPr>
        <w:t>€</w:t>
      </w:r>
      <w:r w:rsidR="00404CD8" w:rsidRPr="00072D28">
        <w:rPr>
          <w:lang w:eastAsia="zh-CN"/>
        </w:rPr>
        <w:t>15,000</w:t>
      </w:r>
      <w:r>
        <w:rPr>
          <w:rFonts w:hint="eastAsia"/>
          <w:lang w:eastAsia="zh-CN"/>
        </w:rPr>
        <w:t>。</w:t>
      </w:r>
    </w:p>
    <w:p w14:paraId="4351DF15" w14:textId="77777777" w:rsidR="00AD3BCB" w:rsidRPr="00072D28" w:rsidRDefault="00AD3BCB" w:rsidP="0064234E">
      <w:pPr>
        <w:autoSpaceDE w:val="0"/>
        <w:autoSpaceDN w:val="0"/>
        <w:adjustRightInd w:val="0"/>
        <w:rPr>
          <w:lang w:eastAsia="zh-CN"/>
        </w:rPr>
      </w:pPr>
    </w:p>
    <w:p w14:paraId="36E80F95" w14:textId="0C6D5452" w:rsidR="00940D76" w:rsidRPr="00072D28" w:rsidRDefault="00085463" w:rsidP="0064234E">
      <w:pPr>
        <w:autoSpaceDE w:val="0"/>
        <w:autoSpaceDN w:val="0"/>
        <w:adjustRightInd w:val="0"/>
        <w:outlineLvl w:val="0"/>
        <w:rPr>
          <w:b/>
          <w:bCs/>
          <w:lang w:eastAsia="zh-CN"/>
        </w:rPr>
      </w:pPr>
      <w:r>
        <w:rPr>
          <w:rFonts w:hint="eastAsia"/>
          <w:b/>
          <w:bCs/>
          <w:lang w:eastAsia="zh-CN"/>
        </w:rPr>
        <w:t>生活费可以通过什么方式支付？</w:t>
      </w:r>
    </w:p>
    <w:p w14:paraId="7FAA90A1" w14:textId="5247017E" w:rsidR="003A483E" w:rsidRDefault="00085463" w:rsidP="0064234E">
      <w:pPr>
        <w:autoSpaceDE w:val="0"/>
        <w:autoSpaceDN w:val="0"/>
        <w:adjustRightInd w:val="0"/>
        <w:outlineLvl w:val="0"/>
        <w:rPr>
          <w:lang w:eastAsia="zh-CN"/>
        </w:rPr>
      </w:pPr>
      <w:r>
        <w:rPr>
          <w:rFonts w:hint="eastAsia"/>
          <w:b/>
          <w:bCs/>
          <w:lang w:eastAsia="zh-CN"/>
        </w:rPr>
        <w:t>生活费法令</w:t>
      </w:r>
      <w:r>
        <w:rPr>
          <w:rFonts w:hint="eastAsia"/>
          <w:bCs/>
          <w:lang w:eastAsia="zh-CN"/>
        </w:rPr>
        <w:t>要求一方直接向另一方支付现金或者通过银行账户转账的方式支付生活费。</w:t>
      </w:r>
      <w:r w:rsidR="0032148F" w:rsidRPr="00072D28">
        <w:rPr>
          <w:b/>
          <w:bCs/>
          <w:lang w:eastAsia="zh-CN"/>
        </w:rPr>
        <w:t xml:space="preserve"> </w:t>
      </w:r>
    </w:p>
    <w:p w14:paraId="4D7B77F5" w14:textId="77777777" w:rsidR="003A483E" w:rsidRDefault="003A483E" w:rsidP="0064234E">
      <w:pPr>
        <w:autoSpaceDE w:val="0"/>
        <w:autoSpaceDN w:val="0"/>
        <w:adjustRightInd w:val="0"/>
        <w:outlineLvl w:val="0"/>
        <w:rPr>
          <w:lang w:eastAsia="zh-CN"/>
        </w:rPr>
      </w:pPr>
    </w:p>
    <w:p w14:paraId="209E7771" w14:textId="574111F1" w:rsidR="00F54176" w:rsidRDefault="00F54176" w:rsidP="0064234E">
      <w:pPr>
        <w:autoSpaceDE w:val="0"/>
        <w:autoSpaceDN w:val="0"/>
        <w:adjustRightInd w:val="0"/>
        <w:outlineLvl w:val="0"/>
        <w:rPr>
          <w:lang w:eastAsia="zh-CN"/>
        </w:rPr>
      </w:pPr>
      <w:r>
        <w:rPr>
          <w:rFonts w:hint="eastAsia"/>
          <w:lang w:eastAsia="zh-CN"/>
        </w:rPr>
        <w:t>法院也可能要求一方将生活费支付给地区法庭工作人员，再由工作人员转付给收款人。</w:t>
      </w:r>
      <w:r w:rsidR="008B0FFB">
        <w:rPr>
          <w:rFonts w:hint="eastAsia"/>
          <w:lang w:eastAsia="zh-CN"/>
        </w:rPr>
        <w:t>目前，最常见的支付方式是由一方直接支付给另一方，通过法院职员转付的方式并不常见。</w:t>
      </w:r>
    </w:p>
    <w:p w14:paraId="1FAFD43E" w14:textId="77777777" w:rsidR="003A483E" w:rsidRPr="00072D28" w:rsidRDefault="003A483E" w:rsidP="0064234E">
      <w:pPr>
        <w:autoSpaceDE w:val="0"/>
        <w:autoSpaceDN w:val="0"/>
        <w:adjustRightInd w:val="0"/>
        <w:outlineLvl w:val="0"/>
        <w:rPr>
          <w:lang w:eastAsia="zh-CN"/>
        </w:rPr>
      </w:pPr>
    </w:p>
    <w:p w14:paraId="376E1ABA" w14:textId="13B41242" w:rsidR="00E260BA" w:rsidRPr="00072D28" w:rsidRDefault="00A774FB" w:rsidP="0064234E">
      <w:pPr>
        <w:tabs>
          <w:tab w:val="left" w:pos="7667"/>
        </w:tabs>
        <w:autoSpaceDE w:val="0"/>
        <w:autoSpaceDN w:val="0"/>
        <w:adjustRightInd w:val="0"/>
        <w:rPr>
          <w:lang w:eastAsia="zh-CN"/>
        </w:rPr>
      </w:pPr>
      <w:r>
        <w:rPr>
          <w:rFonts w:hint="eastAsia"/>
          <w:b/>
          <w:bCs/>
          <w:lang w:eastAsia="zh-CN"/>
        </w:rPr>
        <w:t>如果对方没有按时支付生活费，我可以怎么做？</w:t>
      </w:r>
    </w:p>
    <w:p w14:paraId="160420FF" w14:textId="080740F0" w:rsidR="00940D76" w:rsidRPr="00072D28" w:rsidRDefault="00F53346" w:rsidP="0064234E">
      <w:pPr>
        <w:tabs>
          <w:tab w:val="left" w:pos="7667"/>
        </w:tabs>
        <w:autoSpaceDE w:val="0"/>
        <w:autoSpaceDN w:val="0"/>
        <w:adjustRightInd w:val="0"/>
        <w:rPr>
          <w:lang w:eastAsia="zh-CN"/>
        </w:rPr>
      </w:pPr>
      <w:r>
        <w:rPr>
          <w:rFonts w:hint="eastAsia"/>
          <w:lang w:eastAsia="zh-CN"/>
        </w:rPr>
        <w:t>如果对方没有支付给您生活费，您可以向法院提出申请：</w:t>
      </w:r>
    </w:p>
    <w:p w14:paraId="37729ECB" w14:textId="1550E685" w:rsidR="00940D76" w:rsidRPr="00072D28" w:rsidRDefault="00776D65" w:rsidP="0064234E">
      <w:pPr>
        <w:numPr>
          <w:ilvl w:val="0"/>
          <w:numId w:val="4"/>
        </w:numPr>
        <w:autoSpaceDE w:val="0"/>
        <w:autoSpaceDN w:val="0"/>
        <w:adjustRightInd w:val="0"/>
        <w:rPr>
          <w:lang w:eastAsia="zh-CN"/>
        </w:rPr>
      </w:pPr>
      <w:r>
        <w:rPr>
          <w:rFonts w:hint="eastAsia"/>
          <w:lang w:eastAsia="zh-CN"/>
        </w:rPr>
        <w:t>扣押收入法令。只有</w:t>
      </w:r>
      <w:r w:rsidR="00F546B1">
        <w:rPr>
          <w:rFonts w:hint="eastAsia"/>
          <w:lang w:eastAsia="zh-CN"/>
        </w:rPr>
        <w:t>在支付方处于雇佣关系中时，法院才可以下达此法令。扣押收入法令要求</w:t>
      </w:r>
      <w:r w:rsidR="00424EFB">
        <w:rPr>
          <w:rFonts w:hint="eastAsia"/>
          <w:lang w:eastAsia="zh-CN"/>
        </w:rPr>
        <w:t>支付方的雇主从其</w:t>
      </w:r>
      <w:r>
        <w:rPr>
          <w:rFonts w:hint="eastAsia"/>
          <w:lang w:eastAsia="zh-CN"/>
        </w:rPr>
        <w:t>收入中扣除相应生活费的金额，并将其转给法院职员或收款方；或者</w:t>
      </w:r>
    </w:p>
    <w:p w14:paraId="6F479077" w14:textId="11B795A8" w:rsidR="00640449" w:rsidRPr="00776D65" w:rsidRDefault="00776D65" w:rsidP="0064234E">
      <w:pPr>
        <w:numPr>
          <w:ilvl w:val="0"/>
          <w:numId w:val="4"/>
        </w:numPr>
        <w:autoSpaceDE w:val="0"/>
        <w:autoSpaceDN w:val="0"/>
        <w:adjustRightInd w:val="0"/>
        <w:outlineLvl w:val="0"/>
        <w:rPr>
          <w:b/>
          <w:bCs/>
          <w:lang w:eastAsia="zh-CN"/>
        </w:rPr>
      </w:pPr>
      <w:r>
        <w:rPr>
          <w:rFonts w:hint="eastAsia"/>
          <w:lang w:eastAsia="zh-CN"/>
        </w:rPr>
        <w:t>生活费欠款执行法令。无论支付方是否处于雇佣关系，法院都可以执行此法令。如果支付方在收到执行法令后没有及时出庭，法院可以出具逮捕令，依法逮捕支付方。如果经证实，支付方无意支付生活费，而非无力支付生活费，最严重的情况下，他可能被收监。</w:t>
      </w:r>
    </w:p>
    <w:p w14:paraId="277E0E22" w14:textId="77777777" w:rsidR="00AD3BCB" w:rsidRDefault="00AD3BCB" w:rsidP="0064234E">
      <w:pPr>
        <w:autoSpaceDE w:val="0"/>
        <w:autoSpaceDN w:val="0"/>
        <w:adjustRightInd w:val="0"/>
        <w:outlineLvl w:val="0"/>
        <w:rPr>
          <w:b/>
          <w:bCs/>
          <w:lang w:eastAsia="zh-CN"/>
        </w:rPr>
      </w:pPr>
    </w:p>
    <w:p w14:paraId="29F0ED38" w14:textId="77777777" w:rsidR="00AD3BCB" w:rsidRDefault="00AD3BCB" w:rsidP="0064234E">
      <w:pPr>
        <w:autoSpaceDE w:val="0"/>
        <w:autoSpaceDN w:val="0"/>
        <w:adjustRightInd w:val="0"/>
        <w:outlineLvl w:val="0"/>
        <w:rPr>
          <w:b/>
          <w:bCs/>
          <w:lang w:eastAsia="zh-CN"/>
        </w:rPr>
      </w:pPr>
    </w:p>
    <w:p w14:paraId="1AC94008" w14:textId="77777777" w:rsidR="00AD3BCB" w:rsidRDefault="00AD3BCB" w:rsidP="0064234E">
      <w:pPr>
        <w:autoSpaceDE w:val="0"/>
        <w:autoSpaceDN w:val="0"/>
        <w:adjustRightInd w:val="0"/>
        <w:outlineLvl w:val="0"/>
        <w:rPr>
          <w:b/>
          <w:bCs/>
          <w:lang w:eastAsia="zh-CN"/>
        </w:rPr>
      </w:pPr>
    </w:p>
    <w:p w14:paraId="35AA3FB5" w14:textId="0FB3D389" w:rsidR="00770CF7" w:rsidRPr="00072D28" w:rsidRDefault="00280F6B" w:rsidP="0064234E">
      <w:pPr>
        <w:autoSpaceDE w:val="0"/>
        <w:autoSpaceDN w:val="0"/>
        <w:adjustRightInd w:val="0"/>
        <w:outlineLvl w:val="0"/>
        <w:rPr>
          <w:b/>
          <w:bCs/>
          <w:lang w:eastAsia="zh-CN"/>
        </w:rPr>
      </w:pPr>
      <w:r>
        <w:rPr>
          <w:rFonts w:hint="eastAsia"/>
          <w:b/>
          <w:bCs/>
          <w:lang w:eastAsia="zh-CN"/>
        </w:rPr>
        <w:t>社会福利津贴</w:t>
      </w:r>
    </w:p>
    <w:p w14:paraId="5F5AE38F" w14:textId="601FB555" w:rsidR="00602F93" w:rsidRPr="00072D28" w:rsidRDefault="006D6B52" w:rsidP="0064234E">
      <w:pPr>
        <w:autoSpaceDE w:val="0"/>
        <w:autoSpaceDN w:val="0"/>
        <w:adjustRightInd w:val="0"/>
        <w:rPr>
          <w:lang w:eastAsia="zh-CN"/>
        </w:rPr>
      </w:pPr>
      <w:r>
        <w:rPr>
          <w:rFonts w:hint="eastAsia"/>
          <w:lang w:eastAsia="zh-CN"/>
        </w:rPr>
        <w:t>在您有权获得生活费但是却没有收到任何生活费的情况下，</w:t>
      </w:r>
      <w:r w:rsidR="00280F6B">
        <w:rPr>
          <w:rFonts w:hint="eastAsia"/>
          <w:lang w:eastAsia="zh-CN"/>
        </w:rPr>
        <w:t>如果您申请社会保护部门的社会福利津贴，该部门可能会要求您</w:t>
      </w:r>
      <w:r>
        <w:rPr>
          <w:rFonts w:hint="eastAsia"/>
          <w:lang w:eastAsia="zh-CN"/>
        </w:rPr>
        <w:t>申请生活费</w:t>
      </w:r>
      <w:r w:rsidR="00D9320C">
        <w:rPr>
          <w:rFonts w:hint="eastAsia"/>
          <w:lang w:eastAsia="zh-CN"/>
        </w:rPr>
        <w:t>。</w:t>
      </w:r>
      <w:r w:rsidR="00F65D57" w:rsidRPr="00072D28">
        <w:rPr>
          <w:lang w:eastAsia="zh-CN"/>
        </w:rPr>
        <w:t xml:space="preserve"> </w:t>
      </w:r>
    </w:p>
    <w:p w14:paraId="3CD8D8DD" w14:textId="77777777" w:rsidR="00640449" w:rsidRDefault="00640449" w:rsidP="0064234E">
      <w:pPr>
        <w:autoSpaceDE w:val="0"/>
        <w:autoSpaceDN w:val="0"/>
        <w:adjustRightInd w:val="0"/>
        <w:outlineLvl w:val="0"/>
        <w:rPr>
          <w:b/>
          <w:bCs/>
          <w:lang w:eastAsia="zh-CN"/>
        </w:rPr>
      </w:pPr>
    </w:p>
    <w:p w14:paraId="6604700C" w14:textId="0126CC5B" w:rsidR="00F65D57" w:rsidRPr="00072D28" w:rsidRDefault="004603C4" w:rsidP="0064234E">
      <w:pPr>
        <w:autoSpaceDE w:val="0"/>
        <w:autoSpaceDN w:val="0"/>
        <w:adjustRightInd w:val="0"/>
        <w:outlineLvl w:val="0"/>
        <w:rPr>
          <w:b/>
          <w:bCs/>
          <w:lang w:eastAsia="zh-CN"/>
        </w:rPr>
      </w:pPr>
      <w:r>
        <w:rPr>
          <w:rFonts w:hint="eastAsia"/>
          <w:b/>
          <w:bCs/>
          <w:lang w:eastAsia="zh-CN"/>
        </w:rPr>
        <w:t>怎样变更或者终止生活费？</w:t>
      </w:r>
    </w:p>
    <w:p w14:paraId="534B6D6D" w14:textId="484FED9C" w:rsidR="00F65D57" w:rsidRPr="00072D28" w:rsidRDefault="00AD1913" w:rsidP="0064234E">
      <w:pPr>
        <w:autoSpaceDE w:val="0"/>
        <w:autoSpaceDN w:val="0"/>
        <w:adjustRightInd w:val="0"/>
        <w:rPr>
          <w:lang w:eastAsia="zh-CN"/>
        </w:rPr>
      </w:pPr>
      <w:r>
        <w:rPr>
          <w:rFonts w:hint="eastAsia"/>
          <w:lang w:eastAsia="zh-CN"/>
        </w:rPr>
        <w:t>生活费的支付方或接收方可以重新向法院提出生活费法令的申请，申请可以基于以下原因：</w:t>
      </w:r>
    </w:p>
    <w:p w14:paraId="0FB1CC1D" w14:textId="65B80BBA" w:rsidR="002D584B" w:rsidRPr="00072D28" w:rsidRDefault="00971B72" w:rsidP="0064234E">
      <w:pPr>
        <w:numPr>
          <w:ilvl w:val="0"/>
          <w:numId w:val="5"/>
        </w:numPr>
        <w:autoSpaceDE w:val="0"/>
        <w:autoSpaceDN w:val="0"/>
        <w:adjustRightInd w:val="0"/>
        <w:rPr>
          <w:lang w:eastAsia="zh-CN"/>
        </w:rPr>
      </w:pPr>
      <w:r>
        <w:rPr>
          <w:rFonts w:hint="eastAsia"/>
          <w:lang w:eastAsia="zh-CN"/>
        </w:rPr>
        <w:t>变更</w:t>
      </w:r>
      <w:r w:rsidR="00D66010">
        <w:rPr>
          <w:rFonts w:hint="eastAsia"/>
          <w:lang w:eastAsia="zh-CN"/>
        </w:rPr>
        <w:t>生活费法令，比如变更生活费数额，比如一方</w:t>
      </w:r>
      <w:r w:rsidR="00BC3893">
        <w:rPr>
          <w:rFonts w:hint="eastAsia"/>
          <w:lang w:eastAsia="zh-CN"/>
        </w:rPr>
        <w:t>想要</w:t>
      </w:r>
      <w:r w:rsidR="00D66010">
        <w:rPr>
          <w:rFonts w:hint="eastAsia"/>
          <w:lang w:eastAsia="zh-CN"/>
        </w:rPr>
        <w:t>更多的生活费。</w:t>
      </w:r>
    </w:p>
    <w:p w14:paraId="32F01C06" w14:textId="643A9DB7" w:rsidR="003F3E9D" w:rsidRPr="00072D28" w:rsidRDefault="00E64D72" w:rsidP="0064234E">
      <w:pPr>
        <w:numPr>
          <w:ilvl w:val="0"/>
          <w:numId w:val="5"/>
        </w:numPr>
        <w:autoSpaceDE w:val="0"/>
        <w:autoSpaceDN w:val="0"/>
        <w:adjustRightInd w:val="0"/>
        <w:rPr>
          <w:lang w:eastAsia="zh-CN"/>
        </w:rPr>
      </w:pPr>
      <w:r>
        <w:rPr>
          <w:rFonts w:hint="eastAsia"/>
          <w:lang w:eastAsia="zh-CN"/>
        </w:rPr>
        <w:t>终止生活费法令，这意味着解除支付方支付生活费的义务。一般来讲，当支付方的经济情况不同于</w:t>
      </w:r>
      <w:r w:rsidR="004A2819">
        <w:rPr>
          <w:rFonts w:hint="eastAsia"/>
          <w:lang w:eastAsia="zh-CN"/>
        </w:rPr>
        <w:t>最初判决下达时</w:t>
      </w:r>
      <w:r w:rsidR="00530ABB">
        <w:rPr>
          <w:rFonts w:hint="eastAsia"/>
          <w:lang w:eastAsia="zh-CN"/>
        </w:rPr>
        <w:t>的经济情况时</w:t>
      </w:r>
      <w:r>
        <w:rPr>
          <w:rFonts w:hint="eastAsia"/>
          <w:lang w:eastAsia="zh-CN"/>
        </w:rPr>
        <w:t>，支付方可以申请此法令。</w:t>
      </w:r>
      <w:r w:rsidR="00896045" w:rsidRPr="00072D28">
        <w:rPr>
          <w:lang w:eastAsia="zh-CN"/>
        </w:rPr>
        <w:t xml:space="preserve"> </w:t>
      </w:r>
    </w:p>
    <w:p w14:paraId="406FE174" w14:textId="28E23FB9" w:rsidR="00894506" w:rsidRPr="00072D28" w:rsidRDefault="00C743B7" w:rsidP="00894506">
      <w:pPr>
        <w:numPr>
          <w:ilvl w:val="0"/>
          <w:numId w:val="5"/>
        </w:numPr>
        <w:autoSpaceDE w:val="0"/>
        <w:autoSpaceDN w:val="0"/>
        <w:adjustRightInd w:val="0"/>
        <w:rPr>
          <w:lang w:eastAsia="zh-CN"/>
        </w:rPr>
      </w:pPr>
      <w:r>
        <w:rPr>
          <w:rFonts w:hint="eastAsia"/>
          <w:lang w:eastAsia="zh-CN"/>
        </w:rPr>
        <w:lastRenderedPageBreak/>
        <w:t>如果因为支付方无力支付生活费，并因此申请终止生活费法令时</w:t>
      </w:r>
      <w:r w:rsidR="005C3657">
        <w:rPr>
          <w:rFonts w:hint="eastAsia"/>
          <w:lang w:eastAsia="zh-CN"/>
        </w:rPr>
        <w:t>，支付方须向法院</w:t>
      </w:r>
      <w:r w:rsidR="002E6DC0">
        <w:rPr>
          <w:rFonts w:hint="eastAsia"/>
          <w:lang w:eastAsia="zh-CN"/>
        </w:rPr>
        <w:t>提交</w:t>
      </w:r>
      <w:r w:rsidR="005C3657">
        <w:rPr>
          <w:rFonts w:hint="eastAsia"/>
          <w:lang w:eastAsia="zh-CN"/>
        </w:rPr>
        <w:t>证明。</w:t>
      </w:r>
    </w:p>
    <w:p w14:paraId="1F28FFBA" w14:textId="77777777" w:rsidR="00640449" w:rsidRDefault="00640449" w:rsidP="0064234E">
      <w:pPr>
        <w:autoSpaceDE w:val="0"/>
        <w:autoSpaceDN w:val="0"/>
        <w:adjustRightInd w:val="0"/>
        <w:outlineLvl w:val="0"/>
        <w:rPr>
          <w:b/>
          <w:bCs/>
          <w:lang w:eastAsia="zh-CN"/>
        </w:rPr>
      </w:pPr>
    </w:p>
    <w:p w14:paraId="6876D37E" w14:textId="45918CB0" w:rsidR="00FC42D7" w:rsidRDefault="00FC42D7" w:rsidP="0064234E">
      <w:pPr>
        <w:autoSpaceDE w:val="0"/>
        <w:autoSpaceDN w:val="0"/>
        <w:adjustRightInd w:val="0"/>
        <w:outlineLvl w:val="0"/>
        <w:rPr>
          <w:bCs/>
          <w:lang w:eastAsia="zh-CN"/>
        </w:rPr>
      </w:pPr>
      <w:r>
        <w:rPr>
          <w:rFonts w:hint="eastAsia"/>
          <w:bCs/>
          <w:lang w:eastAsia="zh-CN"/>
        </w:rPr>
        <w:t>法院可以在处理执行申请时，如果发现经济状况与法令下达时有明显变化时，可以变更生活费法令。</w:t>
      </w:r>
    </w:p>
    <w:p w14:paraId="5E6ADB09" w14:textId="77777777" w:rsidR="003A1517" w:rsidRDefault="003A1517" w:rsidP="0064234E">
      <w:pPr>
        <w:autoSpaceDE w:val="0"/>
        <w:autoSpaceDN w:val="0"/>
        <w:adjustRightInd w:val="0"/>
        <w:outlineLvl w:val="0"/>
        <w:rPr>
          <w:bCs/>
          <w:lang w:eastAsia="zh-CN"/>
        </w:rPr>
      </w:pPr>
    </w:p>
    <w:p w14:paraId="183362C2" w14:textId="1F392D1F" w:rsidR="00473689" w:rsidRPr="00072D28" w:rsidRDefault="003A1517" w:rsidP="0064234E">
      <w:pPr>
        <w:autoSpaceDE w:val="0"/>
        <w:autoSpaceDN w:val="0"/>
        <w:adjustRightInd w:val="0"/>
        <w:outlineLvl w:val="0"/>
        <w:rPr>
          <w:b/>
          <w:bCs/>
          <w:lang w:eastAsia="zh-CN"/>
        </w:rPr>
      </w:pPr>
      <w:r>
        <w:rPr>
          <w:rFonts w:hint="eastAsia"/>
          <w:b/>
          <w:bCs/>
          <w:lang w:eastAsia="zh-CN"/>
        </w:rPr>
        <w:t>如果另一方居住在海外，有可能获得生活费吗？</w:t>
      </w:r>
    </w:p>
    <w:p w14:paraId="4D7BD7DB" w14:textId="1BEDDE1E" w:rsidR="00430868" w:rsidRDefault="005B56CE" w:rsidP="0064234E">
      <w:pPr>
        <w:autoSpaceDE w:val="0"/>
        <w:autoSpaceDN w:val="0"/>
        <w:adjustRightInd w:val="0"/>
        <w:rPr>
          <w:lang w:eastAsia="zh-CN"/>
        </w:rPr>
      </w:pPr>
      <w:r>
        <w:rPr>
          <w:rFonts w:hint="eastAsia"/>
          <w:lang w:eastAsia="zh-CN"/>
        </w:rPr>
        <w:t>如果另一方居住在</w:t>
      </w:r>
      <w:r w:rsidRPr="005B56CE">
        <w:rPr>
          <w:rFonts w:hint="eastAsia"/>
          <w:b/>
          <w:lang w:eastAsia="zh-CN"/>
        </w:rPr>
        <w:t>某些</w:t>
      </w:r>
      <w:r>
        <w:rPr>
          <w:rFonts w:hint="eastAsia"/>
          <w:lang w:eastAsia="zh-CN"/>
        </w:rPr>
        <w:t>海外国家，您可以获取并且执行生活费法令。您可以从当地法律中心获取更多关于如何从居住在海外的配偶或伴侣处获得生活费的信息。</w:t>
      </w:r>
    </w:p>
    <w:p w14:paraId="2E0D42E8" w14:textId="77777777" w:rsidR="005B56CE" w:rsidRDefault="005B56CE" w:rsidP="0064234E">
      <w:pPr>
        <w:rPr>
          <w:lang w:eastAsia="zh-CN"/>
        </w:rPr>
      </w:pPr>
    </w:p>
    <w:p w14:paraId="51893CFB" w14:textId="2C9FF1F9" w:rsidR="008A4F27" w:rsidRPr="00072D28" w:rsidRDefault="005B56CE" w:rsidP="0064234E">
      <w:pPr>
        <w:rPr>
          <w:bCs/>
        </w:rPr>
      </w:pPr>
      <w:r>
        <w:rPr>
          <w:rFonts w:hint="eastAsia"/>
          <w:lang w:eastAsia="zh-CN"/>
        </w:rPr>
        <w:t>总部</w:t>
      </w:r>
      <w:r w:rsidR="008A4F27" w:rsidRPr="00072D28">
        <w:t>: Legal Aid Board, Quay Street, Cahirciveen, Co. Kerry</w:t>
      </w:r>
      <w:r w:rsidR="00072D28" w:rsidRPr="00072D28">
        <w:t xml:space="preserve">, </w:t>
      </w:r>
      <w:r w:rsidR="00072D28" w:rsidRPr="00072D28">
        <w:rPr>
          <w:bCs/>
        </w:rPr>
        <w:t>V23 RD36.</w:t>
      </w:r>
    </w:p>
    <w:p w14:paraId="18F55888" w14:textId="03C74B48" w:rsidR="008A4F27" w:rsidRPr="00072D28" w:rsidRDefault="005B56CE" w:rsidP="0064234E">
      <w:pPr>
        <w:rPr>
          <w:lang w:eastAsia="zh-CN"/>
        </w:rPr>
      </w:pPr>
      <w:r>
        <w:rPr>
          <w:rFonts w:hint="eastAsia"/>
          <w:lang w:eastAsia="zh-CN"/>
        </w:rPr>
        <w:t>电话</w:t>
      </w:r>
      <w:r w:rsidR="008A4F27" w:rsidRPr="00072D28">
        <w:rPr>
          <w:lang w:eastAsia="zh-CN"/>
        </w:rPr>
        <w:t xml:space="preserve">:  (066) 947 1000    </w:t>
      </w:r>
    </w:p>
    <w:p w14:paraId="175209BD" w14:textId="2964F824" w:rsidR="008A4F27" w:rsidRPr="00072D28" w:rsidRDefault="005B56CE" w:rsidP="0064234E">
      <w:pPr>
        <w:rPr>
          <w:lang w:eastAsia="zh-CN"/>
        </w:rPr>
      </w:pPr>
      <w:r>
        <w:rPr>
          <w:rFonts w:hint="eastAsia"/>
          <w:lang w:eastAsia="zh-CN"/>
        </w:rPr>
        <w:t>传真</w:t>
      </w:r>
      <w:r w:rsidR="008A4F27" w:rsidRPr="00072D28">
        <w:rPr>
          <w:lang w:eastAsia="zh-CN"/>
        </w:rPr>
        <w:t>: (066) 947 1035</w:t>
      </w:r>
    </w:p>
    <w:p w14:paraId="414C5135" w14:textId="44DA1557" w:rsidR="008A4F27" w:rsidRPr="00072D28" w:rsidRDefault="005B56CE" w:rsidP="0064234E">
      <w:pPr>
        <w:rPr>
          <w:lang w:eastAsia="zh-CN"/>
        </w:rPr>
      </w:pPr>
      <w:r>
        <w:rPr>
          <w:rFonts w:hint="eastAsia"/>
          <w:lang w:eastAsia="zh-CN"/>
        </w:rPr>
        <w:t>免费电话</w:t>
      </w:r>
      <w:r w:rsidR="008A4F27" w:rsidRPr="00072D28">
        <w:rPr>
          <w:lang w:eastAsia="zh-CN"/>
        </w:rPr>
        <w:t xml:space="preserve"> 1890 615 2000</w:t>
      </w:r>
    </w:p>
    <w:p w14:paraId="27D424EA" w14:textId="6C28F70E" w:rsidR="00317D31" w:rsidRPr="00072D28" w:rsidRDefault="005B56CE" w:rsidP="0064234E">
      <w:pPr>
        <w:rPr>
          <w:lang w:eastAsia="zh-CN"/>
        </w:rPr>
      </w:pPr>
      <w:r>
        <w:rPr>
          <w:rFonts w:hint="eastAsia"/>
          <w:lang w:eastAsia="zh-CN"/>
        </w:rPr>
        <w:t>网站</w:t>
      </w:r>
      <w:r w:rsidR="008A4F27" w:rsidRPr="00072D28">
        <w:rPr>
          <w:lang w:eastAsia="zh-CN"/>
        </w:rPr>
        <w:t xml:space="preserve">: </w:t>
      </w:r>
      <w:hyperlink r:id="rId9" w:history="1">
        <w:r w:rsidR="008A4F27" w:rsidRPr="00072D28">
          <w:rPr>
            <w:rStyle w:val="Hyperlink"/>
            <w:lang w:eastAsia="zh-CN"/>
          </w:rPr>
          <w:t>www.legalaidboard.ie</w:t>
        </w:r>
      </w:hyperlink>
    </w:p>
    <w:sectPr w:rsidR="00317D31" w:rsidRPr="00072D28" w:rsidSect="00940D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F03B" w14:textId="77777777" w:rsidR="008E2595" w:rsidRDefault="008E2595">
      <w:r>
        <w:separator/>
      </w:r>
    </w:p>
  </w:endnote>
  <w:endnote w:type="continuationSeparator" w:id="0">
    <w:p w14:paraId="11688238" w14:textId="77777777" w:rsidR="008E2595" w:rsidRDefault="008E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6C9A" w14:textId="77777777" w:rsidR="00765F37" w:rsidRDefault="0076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AAB1A" w14:textId="77777777" w:rsidR="00765F37" w:rsidRDefault="0076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4FBA" w14:textId="77777777" w:rsidR="00765F37" w:rsidRDefault="007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0A3F" w14:textId="77777777" w:rsidR="008E2595" w:rsidRDefault="008E2595">
      <w:r>
        <w:separator/>
      </w:r>
    </w:p>
  </w:footnote>
  <w:footnote w:type="continuationSeparator" w:id="0">
    <w:p w14:paraId="207102A0" w14:textId="77777777" w:rsidR="008E2595" w:rsidRDefault="008E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85610" w14:textId="77777777" w:rsidR="00765F37" w:rsidRDefault="0076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A5C0" w14:textId="77777777" w:rsidR="00765F37" w:rsidRDefault="00765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B0C9" w14:textId="77777777" w:rsidR="00765F37" w:rsidRDefault="0076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C427DC"/>
    <w:lvl w:ilvl="0">
      <w:start w:val="1"/>
      <w:numFmt w:val="bullet"/>
      <w:lvlText w:val=""/>
      <w:lvlJc w:val="left"/>
      <w:pPr>
        <w:tabs>
          <w:tab w:val="num" w:pos="926"/>
        </w:tabs>
        <w:ind w:left="926" w:hanging="360"/>
      </w:pPr>
      <w:rPr>
        <w:rFonts w:ascii="Symbol" w:hAnsi="Symbol" w:hint="default"/>
      </w:rPr>
    </w:lvl>
  </w:abstractNum>
  <w:abstractNum w:abstractNumId="1">
    <w:nsid w:val="092C0BF9"/>
    <w:multiLevelType w:val="hybridMultilevel"/>
    <w:tmpl w:val="E7D0B310"/>
    <w:lvl w:ilvl="0" w:tplc="40F68FB4">
      <w:start w:val="1"/>
      <w:numFmt w:val="bullet"/>
      <w:pStyle w:val="ListBullet3"/>
      <w:lvlText w:val=""/>
      <w:lvlJc w:val="left"/>
      <w:pPr>
        <w:tabs>
          <w:tab w:val="num" w:pos="926"/>
        </w:tabs>
        <w:ind w:left="92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077057"/>
    <w:multiLevelType w:val="hybridMultilevel"/>
    <w:tmpl w:val="03727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0F4407D"/>
    <w:multiLevelType w:val="hybridMultilevel"/>
    <w:tmpl w:val="929CE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2957375"/>
    <w:multiLevelType w:val="hybridMultilevel"/>
    <w:tmpl w:val="94FA9DA8"/>
    <w:lvl w:ilvl="0" w:tplc="2B188E3C">
      <w:start w:val="1"/>
      <w:numFmt w:val="bullet"/>
      <w:lvlText w:val=""/>
      <w:lvlJc w:val="left"/>
      <w:pPr>
        <w:tabs>
          <w:tab w:val="num" w:pos="941"/>
        </w:tabs>
        <w:ind w:left="600" w:firstLine="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13C6E"/>
    <w:rsid w:val="00022219"/>
    <w:rsid w:val="000333DB"/>
    <w:rsid w:val="00033E74"/>
    <w:rsid w:val="00036BA8"/>
    <w:rsid w:val="00055BFD"/>
    <w:rsid w:val="00065A29"/>
    <w:rsid w:val="00067762"/>
    <w:rsid w:val="00072D28"/>
    <w:rsid w:val="0008459D"/>
    <w:rsid w:val="00085463"/>
    <w:rsid w:val="000C6BC7"/>
    <w:rsid w:val="000E11DB"/>
    <w:rsid w:val="001300DF"/>
    <w:rsid w:val="00161BE1"/>
    <w:rsid w:val="00161DD4"/>
    <w:rsid w:val="0016508E"/>
    <w:rsid w:val="0017013C"/>
    <w:rsid w:val="001769D7"/>
    <w:rsid w:val="001810B3"/>
    <w:rsid w:val="001C4562"/>
    <w:rsid w:val="001E269E"/>
    <w:rsid w:val="00225D57"/>
    <w:rsid w:val="002321BD"/>
    <w:rsid w:val="002503FD"/>
    <w:rsid w:val="00280F6B"/>
    <w:rsid w:val="002D584B"/>
    <w:rsid w:val="002E6DC0"/>
    <w:rsid w:val="00301C3B"/>
    <w:rsid w:val="00307C2F"/>
    <w:rsid w:val="00317D31"/>
    <w:rsid w:val="0032148F"/>
    <w:rsid w:val="003325B2"/>
    <w:rsid w:val="00343420"/>
    <w:rsid w:val="00355A99"/>
    <w:rsid w:val="0038772D"/>
    <w:rsid w:val="00396277"/>
    <w:rsid w:val="003A1517"/>
    <w:rsid w:val="003A415F"/>
    <w:rsid w:val="003A47CF"/>
    <w:rsid w:val="003A483E"/>
    <w:rsid w:val="003A59CE"/>
    <w:rsid w:val="003B0518"/>
    <w:rsid w:val="003C64E3"/>
    <w:rsid w:val="003E046C"/>
    <w:rsid w:val="003F3E9D"/>
    <w:rsid w:val="00403357"/>
    <w:rsid w:val="00404CD8"/>
    <w:rsid w:val="00414656"/>
    <w:rsid w:val="00424EFB"/>
    <w:rsid w:val="00430868"/>
    <w:rsid w:val="0043291B"/>
    <w:rsid w:val="0043355F"/>
    <w:rsid w:val="004378D1"/>
    <w:rsid w:val="004525FC"/>
    <w:rsid w:val="0045430F"/>
    <w:rsid w:val="004603C4"/>
    <w:rsid w:val="0047227B"/>
    <w:rsid w:val="00473689"/>
    <w:rsid w:val="00496425"/>
    <w:rsid w:val="004A2819"/>
    <w:rsid w:val="004B445A"/>
    <w:rsid w:val="004D65EF"/>
    <w:rsid w:val="00512A08"/>
    <w:rsid w:val="00521F9A"/>
    <w:rsid w:val="00530ABB"/>
    <w:rsid w:val="00543719"/>
    <w:rsid w:val="0056192F"/>
    <w:rsid w:val="00585453"/>
    <w:rsid w:val="00586E24"/>
    <w:rsid w:val="00592F6E"/>
    <w:rsid w:val="005938DF"/>
    <w:rsid w:val="005B10DB"/>
    <w:rsid w:val="005B29B0"/>
    <w:rsid w:val="005B56CE"/>
    <w:rsid w:val="005C3657"/>
    <w:rsid w:val="005F32F7"/>
    <w:rsid w:val="005F4817"/>
    <w:rsid w:val="00600573"/>
    <w:rsid w:val="00602F93"/>
    <w:rsid w:val="00640449"/>
    <w:rsid w:val="0064234E"/>
    <w:rsid w:val="0064513F"/>
    <w:rsid w:val="00647703"/>
    <w:rsid w:val="006668AB"/>
    <w:rsid w:val="00681F8F"/>
    <w:rsid w:val="006A2E52"/>
    <w:rsid w:val="006A351D"/>
    <w:rsid w:val="006D4292"/>
    <w:rsid w:val="006D6B52"/>
    <w:rsid w:val="006F61BF"/>
    <w:rsid w:val="00734F55"/>
    <w:rsid w:val="007428D0"/>
    <w:rsid w:val="007514EE"/>
    <w:rsid w:val="00765F37"/>
    <w:rsid w:val="007676AE"/>
    <w:rsid w:val="00770CF7"/>
    <w:rsid w:val="00773ECD"/>
    <w:rsid w:val="00776D65"/>
    <w:rsid w:val="007879BC"/>
    <w:rsid w:val="00794940"/>
    <w:rsid w:val="007A07F9"/>
    <w:rsid w:val="007A6C6F"/>
    <w:rsid w:val="007B0094"/>
    <w:rsid w:val="007B0C95"/>
    <w:rsid w:val="007E32BF"/>
    <w:rsid w:val="007F6458"/>
    <w:rsid w:val="007F7319"/>
    <w:rsid w:val="00806541"/>
    <w:rsid w:val="00807158"/>
    <w:rsid w:val="00851B81"/>
    <w:rsid w:val="008575B1"/>
    <w:rsid w:val="00866D37"/>
    <w:rsid w:val="00894506"/>
    <w:rsid w:val="00896045"/>
    <w:rsid w:val="008A1CCD"/>
    <w:rsid w:val="008A209A"/>
    <w:rsid w:val="008A4F27"/>
    <w:rsid w:val="008B0FFB"/>
    <w:rsid w:val="008D386F"/>
    <w:rsid w:val="008E2595"/>
    <w:rsid w:val="0092373D"/>
    <w:rsid w:val="00940D76"/>
    <w:rsid w:val="00947DEC"/>
    <w:rsid w:val="00971B72"/>
    <w:rsid w:val="009A57AC"/>
    <w:rsid w:val="009B1508"/>
    <w:rsid w:val="009B2827"/>
    <w:rsid w:val="009E0679"/>
    <w:rsid w:val="009F30F5"/>
    <w:rsid w:val="00A24413"/>
    <w:rsid w:val="00A36143"/>
    <w:rsid w:val="00A774FB"/>
    <w:rsid w:val="00A84B63"/>
    <w:rsid w:val="00AA5CDD"/>
    <w:rsid w:val="00AA5DA8"/>
    <w:rsid w:val="00AD1913"/>
    <w:rsid w:val="00AD3BCB"/>
    <w:rsid w:val="00AD71AC"/>
    <w:rsid w:val="00AE2955"/>
    <w:rsid w:val="00AE61F3"/>
    <w:rsid w:val="00B01C02"/>
    <w:rsid w:val="00B143BA"/>
    <w:rsid w:val="00B2123E"/>
    <w:rsid w:val="00B21F8C"/>
    <w:rsid w:val="00B26A38"/>
    <w:rsid w:val="00B35A9D"/>
    <w:rsid w:val="00B8177A"/>
    <w:rsid w:val="00B94C83"/>
    <w:rsid w:val="00BB4C9C"/>
    <w:rsid w:val="00BC3893"/>
    <w:rsid w:val="00BC7F0D"/>
    <w:rsid w:val="00C1216F"/>
    <w:rsid w:val="00C34E1D"/>
    <w:rsid w:val="00C4225E"/>
    <w:rsid w:val="00C43ECF"/>
    <w:rsid w:val="00C50EF2"/>
    <w:rsid w:val="00C55595"/>
    <w:rsid w:val="00C735CB"/>
    <w:rsid w:val="00C743B7"/>
    <w:rsid w:val="00C77FDE"/>
    <w:rsid w:val="00C92726"/>
    <w:rsid w:val="00CC329E"/>
    <w:rsid w:val="00D022F4"/>
    <w:rsid w:val="00D0295B"/>
    <w:rsid w:val="00D12468"/>
    <w:rsid w:val="00D12F2B"/>
    <w:rsid w:val="00D31F5D"/>
    <w:rsid w:val="00D320FE"/>
    <w:rsid w:val="00D50FCB"/>
    <w:rsid w:val="00D63A94"/>
    <w:rsid w:val="00D66010"/>
    <w:rsid w:val="00D738D3"/>
    <w:rsid w:val="00D81408"/>
    <w:rsid w:val="00D87B9A"/>
    <w:rsid w:val="00D9320C"/>
    <w:rsid w:val="00DA0211"/>
    <w:rsid w:val="00DA07FB"/>
    <w:rsid w:val="00DA555C"/>
    <w:rsid w:val="00DC11F6"/>
    <w:rsid w:val="00E260BA"/>
    <w:rsid w:val="00E365BE"/>
    <w:rsid w:val="00E64D72"/>
    <w:rsid w:val="00E90A43"/>
    <w:rsid w:val="00EB32E0"/>
    <w:rsid w:val="00EB58CA"/>
    <w:rsid w:val="00EC7863"/>
    <w:rsid w:val="00EE0B97"/>
    <w:rsid w:val="00EE58FE"/>
    <w:rsid w:val="00F21EE4"/>
    <w:rsid w:val="00F36925"/>
    <w:rsid w:val="00F430C6"/>
    <w:rsid w:val="00F53346"/>
    <w:rsid w:val="00F54176"/>
    <w:rsid w:val="00F546B1"/>
    <w:rsid w:val="00F54876"/>
    <w:rsid w:val="00F65D57"/>
    <w:rsid w:val="00F80312"/>
    <w:rsid w:val="00F907CC"/>
    <w:rsid w:val="00F97BF6"/>
    <w:rsid w:val="00FA21BD"/>
    <w:rsid w:val="00FB7746"/>
    <w:rsid w:val="00FC42D7"/>
    <w:rsid w:val="00FF449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A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en-GB"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en-GB"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en-GB"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en-GB"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512A-D03F-4789-9D5C-2CB10DD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3</Pages>
  <Words>1693</Words>
  <Characters>275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2019-03-13T12:36:00Z</dcterms:created>
  <dcterms:modified xsi:type="dcterms:W3CDTF">2019-03-13T12:36:00Z</dcterms:modified>
</cp:coreProperties>
</file>