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2" w:rsidRPr="00BD5797" w:rsidRDefault="00655182" w:rsidP="007E6C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5797">
        <w:rPr>
          <w:rFonts w:ascii="Arial" w:hAnsi="Arial" w:cs="Arial"/>
          <w:b/>
          <w:sz w:val="24"/>
          <w:szCs w:val="24"/>
        </w:rPr>
        <w:t xml:space="preserve">Meeting of </w:t>
      </w:r>
      <w:r w:rsidR="00C31E0F">
        <w:rPr>
          <w:rFonts w:ascii="Arial" w:hAnsi="Arial" w:cs="Arial"/>
          <w:b/>
          <w:sz w:val="24"/>
          <w:szCs w:val="24"/>
        </w:rPr>
        <w:t xml:space="preserve">External </w:t>
      </w:r>
      <w:r w:rsidRPr="00BD5797">
        <w:rPr>
          <w:rFonts w:ascii="Arial" w:hAnsi="Arial" w:cs="Arial"/>
          <w:b/>
          <w:sz w:val="24"/>
          <w:szCs w:val="24"/>
        </w:rPr>
        <w:t>Consultative Panel</w:t>
      </w:r>
    </w:p>
    <w:p w:rsidR="00655182" w:rsidRPr="00BD5797" w:rsidRDefault="000106A6" w:rsidP="007E6C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Pr="000106A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  <w:r w:rsidR="00655182" w:rsidRPr="00BD5797">
        <w:rPr>
          <w:rFonts w:ascii="Arial" w:hAnsi="Arial" w:cs="Arial"/>
          <w:b/>
          <w:sz w:val="24"/>
          <w:szCs w:val="24"/>
        </w:rPr>
        <w:t>, 2019</w:t>
      </w:r>
    </w:p>
    <w:p w:rsidR="00655182" w:rsidRPr="00BD5797" w:rsidRDefault="0094021F" w:rsidP="007E6C00">
      <w:pPr>
        <w:jc w:val="center"/>
        <w:rPr>
          <w:rFonts w:ascii="Arial" w:hAnsi="Arial" w:cs="Arial"/>
          <w:b/>
          <w:sz w:val="24"/>
          <w:szCs w:val="24"/>
        </w:rPr>
      </w:pPr>
      <w:r w:rsidRPr="00BD5797">
        <w:rPr>
          <w:rFonts w:ascii="Arial" w:hAnsi="Arial" w:cs="Arial"/>
          <w:b/>
          <w:color w:val="000000"/>
          <w:sz w:val="24"/>
          <w:szCs w:val="24"/>
        </w:rPr>
        <w:t>Law Centre</w:t>
      </w:r>
      <w:r w:rsidR="00711965" w:rsidRPr="00BD5797">
        <w:rPr>
          <w:rFonts w:ascii="Arial" w:hAnsi="Arial" w:cs="Arial"/>
          <w:b/>
          <w:color w:val="000000"/>
          <w:sz w:val="24"/>
          <w:szCs w:val="24"/>
        </w:rPr>
        <w:t>, Jervis</w:t>
      </w:r>
      <w:r w:rsidRPr="00BD5797">
        <w:rPr>
          <w:rFonts w:ascii="Arial" w:hAnsi="Arial" w:cs="Arial"/>
          <w:b/>
          <w:color w:val="000000"/>
          <w:sz w:val="24"/>
          <w:szCs w:val="24"/>
        </w:rPr>
        <w:t xml:space="preserve"> Street</w:t>
      </w:r>
      <w:r w:rsidR="00655182" w:rsidRPr="00BD579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BD5797">
        <w:rPr>
          <w:rFonts w:ascii="Arial" w:hAnsi="Arial" w:cs="Arial"/>
          <w:b/>
          <w:color w:val="000000"/>
          <w:sz w:val="24"/>
          <w:szCs w:val="24"/>
        </w:rPr>
        <w:t>Dublin 1</w:t>
      </w:r>
      <w:r w:rsidR="00655182" w:rsidRPr="00BD5797">
        <w:rPr>
          <w:rFonts w:ascii="Arial" w:hAnsi="Arial" w:cs="Arial"/>
          <w:b/>
          <w:sz w:val="24"/>
          <w:szCs w:val="24"/>
        </w:rPr>
        <w:t>.</w:t>
      </w: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Attendance:</w:t>
      </w: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 xml:space="preserve">The </w:t>
      </w:r>
      <w:r w:rsidR="00FA7C18" w:rsidRPr="00BD5797">
        <w:rPr>
          <w:rFonts w:ascii="Arial" w:hAnsi="Arial" w:cs="Arial"/>
          <w:sz w:val="24"/>
          <w:szCs w:val="24"/>
        </w:rPr>
        <w:t>following attended</w:t>
      </w:r>
      <w:r w:rsidRPr="00BD5797">
        <w:rPr>
          <w:rFonts w:ascii="Arial" w:hAnsi="Arial" w:cs="Arial"/>
          <w:sz w:val="24"/>
          <w:szCs w:val="24"/>
        </w:rPr>
        <w:t xml:space="preserve"> the meeting:</w:t>
      </w: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Mr John McDaid, Chief Executive, Chair of the Panel</w:t>
      </w:r>
    </w:p>
    <w:p w:rsidR="00132515" w:rsidRPr="00BD5797" w:rsidRDefault="00132515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Johanna Martyn, MABS</w:t>
      </w:r>
    </w:p>
    <w:p w:rsidR="00132515" w:rsidRPr="00BD5797" w:rsidRDefault="00FB01C3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Shirley Coulter, Council of the Bar of Ireland</w:t>
      </w:r>
    </w:p>
    <w:p w:rsidR="00FB01C3" w:rsidRPr="00BD5797" w:rsidRDefault="00FB01C3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Rachel Baldwin, Council of the Bar of Ireland</w:t>
      </w:r>
    </w:p>
    <w:p w:rsidR="00BA047C" w:rsidRPr="00BD5797" w:rsidRDefault="00BA047C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Mr Paul Joyce, FLAC</w:t>
      </w:r>
    </w:p>
    <w:p w:rsidR="00BA047C" w:rsidRPr="00BD5797" w:rsidRDefault="00BA047C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 xml:space="preserve">Ms </w:t>
      </w:r>
      <w:proofErr w:type="spellStart"/>
      <w:r w:rsidR="001032D8">
        <w:rPr>
          <w:rFonts w:ascii="Arial" w:hAnsi="Arial" w:cs="Arial"/>
          <w:sz w:val="24"/>
          <w:szCs w:val="24"/>
        </w:rPr>
        <w:t>Eilis</w:t>
      </w:r>
      <w:proofErr w:type="spellEnd"/>
      <w:r w:rsidR="001032D8">
        <w:rPr>
          <w:rFonts w:ascii="Arial" w:hAnsi="Arial" w:cs="Arial"/>
          <w:sz w:val="24"/>
          <w:szCs w:val="24"/>
        </w:rPr>
        <w:t xml:space="preserve"> Barry</w:t>
      </w:r>
      <w:r w:rsidRPr="00BD5797">
        <w:rPr>
          <w:rFonts w:ascii="Arial" w:hAnsi="Arial" w:cs="Arial"/>
          <w:sz w:val="24"/>
          <w:szCs w:val="24"/>
        </w:rPr>
        <w:t>, FLAC</w:t>
      </w:r>
    </w:p>
    <w:p w:rsidR="00D34D05" w:rsidRPr="00BD5797" w:rsidRDefault="00D34D05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 xml:space="preserve">Ms Joan O’Mahony, </w:t>
      </w:r>
      <w:r w:rsidR="00DD0651" w:rsidRPr="00BD5797">
        <w:rPr>
          <w:rFonts w:ascii="Arial" w:hAnsi="Arial" w:cs="Arial"/>
          <w:sz w:val="24"/>
          <w:szCs w:val="24"/>
        </w:rPr>
        <w:t xml:space="preserve">Law Society and </w:t>
      </w:r>
      <w:proofErr w:type="spellStart"/>
      <w:r w:rsidR="00DD0651" w:rsidRPr="00BD5797">
        <w:rPr>
          <w:rFonts w:ascii="Arial" w:hAnsi="Arial" w:cs="Arial"/>
          <w:sz w:val="24"/>
          <w:szCs w:val="24"/>
        </w:rPr>
        <w:t>O’Mahony’s</w:t>
      </w:r>
      <w:proofErr w:type="spellEnd"/>
      <w:r w:rsidR="00DD0651" w:rsidRPr="00BD5797">
        <w:rPr>
          <w:rFonts w:ascii="Arial" w:hAnsi="Arial" w:cs="Arial"/>
          <w:sz w:val="24"/>
          <w:szCs w:val="24"/>
        </w:rPr>
        <w:t xml:space="preserve"> Solicitors</w:t>
      </w:r>
    </w:p>
    <w:p w:rsidR="008A37DA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</w:r>
      <w:r w:rsidR="00FA7C18" w:rsidRPr="00BD5797">
        <w:rPr>
          <w:rFonts w:ascii="Arial" w:hAnsi="Arial" w:cs="Arial"/>
          <w:sz w:val="24"/>
          <w:szCs w:val="24"/>
        </w:rPr>
        <w:t xml:space="preserve">Ms </w:t>
      </w:r>
      <w:proofErr w:type="spellStart"/>
      <w:r w:rsidR="00396BCE">
        <w:rPr>
          <w:rFonts w:ascii="Arial" w:hAnsi="Arial" w:cs="Arial"/>
          <w:sz w:val="24"/>
          <w:szCs w:val="24"/>
        </w:rPr>
        <w:t>Saoirse</w:t>
      </w:r>
      <w:proofErr w:type="spellEnd"/>
      <w:r w:rsidR="00396BCE">
        <w:rPr>
          <w:rFonts w:ascii="Arial" w:hAnsi="Arial" w:cs="Arial"/>
          <w:sz w:val="24"/>
          <w:szCs w:val="24"/>
        </w:rPr>
        <w:t xml:space="preserve"> Brady</w:t>
      </w:r>
      <w:r w:rsidR="00A561B4" w:rsidRPr="00BD5797">
        <w:rPr>
          <w:rFonts w:ascii="Arial" w:hAnsi="Arial" w:cs="Arial"/>
          <w:sz w:val="24"/>
          <w:szCs w:val="24"/>
        </w:rPr>
        <w:t xml:space="preserve">, Children’s Rights Alliance </w:t>
      </w:r>
    </w:p>
    <w:p w:rsidR="000106A6" w:rsidRDefault="008A37DA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 xml:space="preserve">Ms Katie </w:t>
      </w:r>
      <w:proofErr w:type="spellStart"/>
      <w:r w:rsidRPr="00BD5797">
        <w:rPr>
          <w:rFonts w:ascii="Arial" w:hAnsi="Arial" w:cs="Arial"/>
          <w:sz w:val="24"/>
          <w:szCs w:val="24"/>
        </w:rPr>
        <w:t>Mannion</w:t>
      </w:r>
      <w:proofErr w:type="spellEnd"/>
      <w:r w:rsidRPr="00BD5797">
        <w:rPr>
          <w:rFonts w:ascii="Arial" w:hAnsi="Arial" w:cs="Arial"/>
          <w:sz w:val="24"/>
          <w:szCs w:val="24"/>
        </w:rPr>
        <w:t>, Irish Refugee Council</w:t>
      </w:r>
    </w:p>
    <w:p w:rsidR="00655182" w:rsidRDefault="000106A6" w:rsidP="007E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Mr Bobby Barbour, </w:t>
      </w:r>
      <w:r w:rsidRPr="00BD5797">
        <w:rPr>
          <w:rFonts w:ascii="Arial" w:hAnsi="Arial" w:cs="Arial"/>
          <w:sz w:val="24"/>
          <w:szCs w:val="24"/>
        </w:rPr>
        <w:t>Citizens Information Board</w:t>
      </w:r>
      <w:r w:rsidR="00655182" w:rsidRPr="00BD5797">
        <w:rPr>
          <w:rFonts w:ascii="Arial" w:hAnsi="Arial" w:cs="Arial"/>
          <w:sz w:val="24"/>
          <w:szCs w:val="24"/>
        </w:rPr>
        <w:tab/>
      </w:r>
    </w:p>
    <w:p w:rsidR="001032D8" w:rsidRDefault="001032D8" w:rsidP="007E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Ms Susan Cahill, Courts Service</w:t>
      </w:r>
    </w:p>
    <w:p w:rsidR="00F34434" w:rsidRDefault="00F34434" w:rsidP="007E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Ms Mary Condell, Sage Advocacy</w:t>
      </w:r>
    </w:p>
    <w:p w:rsidR="00230331" w:rsidRDefault="00F34434" w:rsidP="007E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6BCE">
        <w:rPr>
          <w:rFonts w:ascii="Arial" w:hAnsi="Arial" w:cs="Arial"/>
          <w:sz w:val="24"/>
          <w:szCs w:val="24"/>
        </w:rPr>
        <w:t>Ms Rose Wall, Community Law and Mediation</w:t>
      </w:r>
    </w:p>
    <w:p w:rsidR="00230331" w:rsidRPr="00BD5797" w:rsidRDefault="00230331" w:rsidP="007E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Ms Monica </w:t>
      </w:r>
      <w:proofErr w:type="spellStart"/>
      <w:r>
        <w:rPr>
          <w:rFonts w:ascii="Arial" w:hAnsi="Arial" w:cs="Arial"/>
          <w:sz w:val="24"/>
          <w:szCs w:val="24"/>
        </w:rPr>
        <w:t>Hynds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Barnardos</w:t>
      </w:r>
      <w:proofErr w:type="spellEnd"/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Ms</w:t>
      </w:r>
      <w:r w:rsidR="001032D8">
        <w:rPr>
          <w:rFonts w:ascii="Arial" w:hAnsi="Arial" w:cs="Arial"/>
          <w:sz w:val="24"/>
          <w:szCs w:val="24"/>
        </w:rPr>
        <w:t xml:space="preserve"> Fiona</w:t>
      </w:r>
      <w:r w:rsidR="00F34434">
        <w:rPr>
          <w:rFonts w:ascii="Arial" w:hAnsi="Arial" w:cs="Arial"/>
          <w:sz w:val="24"/>
          <w:szCs w:val="24"/>
        </w:rPr>
        <w:t xml:space="preserve"> </w:t>
      </w:r>
      <w:r w:rsidR="00396BCE">
        <w:rPr>
          <w:rFonts w:ascii="Arial" w:hAnsi="Arial" w:cs="Arial"/>
          <w:sz w:val="24"/>
          <w:szCs w:val="24"/>
        </w:rPr>
        <w:t>McA</w:t>
      </w:r>
      <w:r w:rsidR="001032D8">
        <w:rPr>
          <w:rFonts w:ascii="Arial" w:hAnsi="Arial" w:cs="Arial"/>
          <w:sz w:val="24"/>
          <w:szCs w:val="24"/>
        </w:rPr>
        <w:t>uslan</w:t>
      </w:r>
      <w:r w:rsidRPr="00BD5797">
        <w:rPr>
          <w:rFonts w:ascii="Arial" w:hAnsi="Arial" w:cs="Arial"/>
          <w:sz w:val="24"/>
          <w:szCs w:val="24"/>
        </w:rPr>
        <w:t>, Legal Aid Board</w:t>
      </w: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  <w:t>Mr Ronan Deegan, Legal Aid Board</w:t>
      </w:r>
    </w:p>
    <w:p w:rsidR="00655182" w:rsidRPr="00BD5797" w:rsidRDefault="00655182" w:rsidP="007E6C00">
      <w:pPr>
        <w:spacing w:after="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ab/>
      </w:r>
      <w:r w:rsidR="008A37DA" w:rsidRPr="00BD5797">
        <w:rPr>
          <w:rFonts w:ascii="Arial" w:hAnsi="Arial" w:cs="Arial"/>
          <w:sz w:val="24"/>
          <w:szCs w:val="24"/>
        </w:rPr>
        <w:t>Mr Donal Reddington, Legal Aid Board</w:t>
      </w:r>
    </w:p>
    <w:p w:rsidR="00655182" w:rsidRPr="00BD5797" w:rsidRDefault="00655182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</w:t>
      </w:r>
      <w:r w:rsidR="008A37DA" w:rsidRPr="00BD5797">
        <w:rPr>
          <w:rFonts w:ascii="Arial" w:hAnsi="Arial" w:cs="Arial"/>
          <w:sz w:val="24"/>
          <w:szCs w:val="24"/>
        </w:rPr>
        <w:t>r Enda Torsney</w:t>
      </w:r>
      <w:r w:rsidRPr="00BD5797">
        <w:rPr>
          <w:rFonts w:ascii="Arial" w:hAnsi="Arial" w:cs="Arial"/>
          <w:sz w:val="24"/>
          <w:szCs w:val="24"/>
        </w:rPr>
        <w:t>, Legal Aid Board, Secretary</w:t>
      </w:r>
    </w:p>
    <w:p w:rsidR="00655182" w:rsidRPr="00BD5797" w:rsidRDefault="00655182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655182" w:rsidRPr="00BD5797" w:rsidRDefault="00655182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The following Board members were present:</w:t>
      </w:r>
    </w:p>
    <w:p w:rsidR="00655182" w:rsidRPr="00BD5797" w:rsidRDefault="00655182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lastRenderedPageBreak/>
        <w:t xml:space="preserve">Mr </w:t>
      </w:r>
      <w:r w:rsidR="00351576" w:rsidRPr="00BD5797">
        <w:rPr>
          <w:rFonts w:ascii="Arial" w:hAnsi="Arial" w:cs="Arial"/>
          <w:sz w:val="24"/>
          <w:szCs w:val="24"/>
        </w:rPr>
        <w:t>Philip</w:t>
      </w:r>
      <w:r w:rsidRPr="00BD5797">
        <w:rPr>
          <w:rFonts w:ascii="Arial" w:hAnsi="Arial" w:cs="Arial"/>
          <w:sz w:val="24"/>
          <w:szCs w:val="24"/>
        </w:rPr>
        <w:t xml:space="preserve"> O’Leary</w:t>
      </w:r>
      <w:r w:rsidR="00DD0651" w:rsidRPr="00BD5797">
        <w:rPr>
          <w:rFonts w:ascii="Arial" w:hAnsi="Arial" w:cs="Arial"/>
          <w:sz w:val="24"/>
          <w:szCs w:val="24"/>
        </w:rPr>
        <w:t>, Chairperson</w:t>
      </w:r>
    </w:p>
    <w:p w:rsidR="00655182" w:rsidRDefault="00655182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D5797">
        <w:rPr>
          <w:rFonts w:ascii="Arial" w:hAnsi="Arial" w:cs="Arial"/>
          <w:sz w:val="24"/>
          <w:szCs w:val="24"/>
        </w:rPr>
        <w:t>Ms Ellen O’Malley Dunlop</w:t>
      </w:r>
    </w:p>
    <w:p w:rsidR="00F34434" w:rsidRDefault="00F34434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Nuala Jackson</w:t>
      </w:r>
    </w:p>
    <w:p w:rsidR="00F34434" w:rsidRDefault="00F34434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Gordon Jeyes</w:t>
      </w:r>
    </w:p>
    <w:p w:rsidR="00F34434" w:rsidRDefault="00F34434" w:rsidP="007E6C00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Maurice Lawlor </w:t>
      </w:r>
    </w:p>
    <w:p w:rsidR="00F34434" w:rsidRDefault="00F34434" w:rsidP="00230331">
      <w:pPr>
        <w:spacing w:after="0"/>
        <w:rPr>
          <w:rFonts w:ascii="Arial" w:hAnsi="Arial" w:cs="Arial"/>
          <w:sz w:val="24"/>
          <w:szCs w:val="24"/>
        </w:rPr>
      </w:pPr>
    </w:p>
    <w:p w:rsidR="00230331" w:rsidRDefault="00230331" w:rsidP="002303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Apologies:</w:t>
      </w:r>
    </w:p>
    <w:p w:rsidR="00230331" w:rsidRPr="00BD5797" w:rsidRDefault="00230331" w:rsidP="002303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Ms Karen Kiernan, One Famly</w:t>
      </w:r>
      <w:bookmarkStart w:id="0" w:name="_GoBack"/>
      <w:bookmarkEnd w:id="0"/>
    </w:p>
    <w:p w:rsidR="00B479D8" w:rsidRPr="00BD5797" w:rsidRDefault="00B479D8" w:rsidP="007E6C00">
      <w:pPr>
        <w:rPr>
          <w:rFonts w:ascii="Arial" w:hAnsi="Arial" w:cs="Arial"/>
          <w:sz w:val="24"/>
          <w:szCs w:val="24"/>
        </w:rPr>
      </w:pPr>
    </w:p>
    <w:p w:rsidR="00655182" w:rsidRPr="00BD5797" w:rsidRDefault="00655182" w:rsidP="007E6C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285"/>
        <w:gridCol w:w="1457"/>
        <w:gridCol w:w="7771"/>
        <w:gridCol w:w="2111"/>
      </w:tblGrid>
      <w:tr w:rsidR="00BB1978" w:rsidRPr="00BD5797" w:rsidTr="00AC31C1">
        <w:tc>
          <w:tcPr>
            <w:tcW w:w="550" w:type="dxa"/>
            <w:shd w:val="clear" w:color="auto" w:fill="D9D9D9" w:themeFill="background1" w:themeFillShade="D9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D9D9D9" w:themeFill="background1" w:themeFillShade="D9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7771" w:type="dxa"/>
            <w:shd w:val="clear" w:color="auto" w:fill="D9D9D9" w:themeFill="background1" w:themeFillShade="D9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BB1978" w:rsidRPr="00BD5797" w:rsidTr="00AC31C1">
        <w:tc>
          <w:tcPr>
            <w:tcW w:w="550" w:type="dxa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1</w:t>
            </w:r>
            <w:r w:rsidR="00AC31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Minutes of meeting of </w:t>
            </w:r>
            <w:r w:rsidR="00A30B4F">
              <w:rPr>
                <w:rFonts w:ascii="Arial" w:hAnsi="Arial" w:cs="Arial"/>
                <w:sz w:val="24"/>
                <w:szCs w:val="24"/>
              </w:rPr>
              <w:t>21</w:t>
            </w:r>
            <w:r w:rsidR="00A30B4F" w:rsidRPr="00A30B4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A30B4F">
              <w:rPr>
                <w:rFonts w:ascii="Arial" w:hAnsi="Arial" w:cs="Arial"/>
                <w:sz w:val="24"/>
                <w:szCs w:val="24"/>
              </w:rPr>
              <w:t xml:space="preserve"> March 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>201</w:t>
            </w:r>
            <w:r w:rsidR="00A30B4F">
              <w:rPr>
                <w:rFonts w:ascii="Arial" w:hAnsi="Arial" w:cs="Arial"/>
                <w:sz w:val="24"/>
                <w:szCs w:val="24"/>
              </w:rPr>
              <w:t>9</w:t>
            </w:r>
            <w:r w:rsidR="007D23AE" w:rsidRPr="00BD5797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matters arising</w:t>
            </w:r>
            <w:r w:rsidR="005016F9" w:rsidRPr="00BD57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CEO</w:t>
            </w:r>
          </w:p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7771" w:type="dxa"/>
          </w:tcPr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There were no suggested changes to the draft minutes circulated from the previous Panel meeting in July. </w:t>
            </w:r>
          </w:p>
          <w:p w:rsidR="00655182" w:rsidRPr="00BD5797" w:rsidRDefault="00655182" w:rsidP="007E6C00">
            <w:pPr>
              <w:spacing w:line="276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655182" w:rsidRDefault="000F77CA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 xml:space="preserve">Matters arising from the previous minutes were discussed. </w:t>
            </w:r>
            <w:r w:rsidR="0011410A">
              <w:rPr>
                <w:rFonts w:ascii="Arial" w:hAnsi="Arial" w:cs="Arial"/>
                <w:sz w:val="24"/>
                <w:szCs w:val="24"/>
              </w:rPr>
              <w:t>Information</w:t>
            </w:r>
            <w:r w:rsidR="00A30B4F">
              <w:rPr>
                <w:rFonts w:ascii="Arial" w:hAnsi="Arial" w:cs="Arial"/>
                <w:sz w:val="24"/>
                <w:szCs w:val="24"/>
              </w:rPr>
              <w:t xml:space="preserve"> has been provided as outlined in the </w:t>
            </w:r>
            <w:r w:rsidR="0011410A">
              <w:rPr>
                <w:rFonts w:ascii="Arial" w:hAnsi="Arial" w:cs="Arial"/>
                <w:sz w:val="24"/>
                <w:szCs w:val="24"/>
              </w:rPr>
              <w:t>actions</w:t>
            </w:r>
            <w:r w:rsidR="00A30B4F">
              <w:rPr>
                <w:rFonts w:ascii="Arial" w:hAnsi="Arial" w:cs="Arial"/>
                <w:sz w:val="24"/>
                <w:szCs w:val="24"/>
              </w:rPr>
              <w:t xml:space="preserve"> save for information on </w:t>
            </w:r>
            <w:r w:rsidR="0011410A" w:rsidRPr="00BD5797">
              <w:rPr>
                <w:rFonts w:ascii="Arial" w:hAnsi="Arial" w:cs="Arial"/>
                <w:sz w:val="24"/>
                <w:szCs w:val="24"/>
              </w:rPr>
              <w:t>the submission on fees payable to experts</w:t>
            </w:r>
            <w:r w:rsidR="0011410A">
              <w:rPr>
                <w:rFonts w:ascii="Arial" w:hAnsi="Arial" w:cs="Arial"/>
                <w:sz w:val="24"/>
                <w:szCs w:val="24"/>
              </w:rPr>
              <w:t>.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 The CEO noted that he was unable to provide any s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pecific </w:t>
            </w:r>
            <w:r w:rsidR="008C68F2">
              <w:rPr>
                <w:rFonts w:ascii="Arial" w:hAnsi="Arial" w:cs="Arial"/>
                <w:sz w:val="24"/>
                <w:szCs w:val="24"/>
              </w:rPr>
              <w:t>information given that the matter was with the Department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 for consideration</w:t>
            </w:r>
            <w:r w:rsidR="008C68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410A" w:rsidRPr="00BD5797" w:rsidRDefault="0011410A" w:rsidP="007E6C00">
            <w:pPr>
              <w:spacing w:line="276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655182" w:rsidRDefault="00B1582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The m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>inutes will be p</w:t>
            </w:r>
            <w:r w:rsidR="0061177C" w:rsidRPr="00BD5797">
              <w:rPr>
                <w:rFonts w:ascii="Arial" w:hAnsi="Arial" w:cs="Arial"/>
                <w:sz w:val="24"/>
                <w:szCs w:val="24"/>
              </w:rPr>
              <w:t>ublished on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 xml:space="preserve"> the Board’s</w:t>
            </w:r>
            <w:r w:rsidRPr="00BD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182" w:rsidRPr="00BD5797">
              <w:rPr>
                <w:rFonts w:ascii="Arial" w:hAnsi="Arial" w:cs="Arial"/>
                <w:sz w:val="24"/>
                <w:szCs w:val="24"/>
              </w:rPr>
              <w:t xml:space="preserve">website.  </w:t>
            </w:r>
          </w:p>
          <w:p w:rsidR="000F77CA" w:rsidRPr="00BD5797" w:rsidRDefault="000F77CA" w:rsidP="007E6C00">
            <w:pPr>
              <w:spacing w:line="276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111" w:type="dxa"/>
          </w:tcPr>
          <w:p w:rsidR="00655182" w:rsidRPr="00BD5797" w:rsidRDefault="00CB4B3B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797">
              <w:rPr>
                <w:rFonts w:ascii="Arial" w:hAnsi="Arial" w:cs="Arial"/>
                <w:sz w:val="24"/>
                <w:szCs w:val="24"/>
              </w:rPr>
              <w:t>Secretary</w:t>
            </w:r>
            <w:r w:rsidR="000F77CA">
              <w:rPr>
                <w:rFonts w:ascii="Arial" w:hAnsi="Arial" w:cs="Arial"/>
                <w:sz w:val="24"/>
                <w:szCs w:val="24"/>
              </w:rPr>
              <w:t xml:space="preserve"> to post approved March minutes to the Board’s website</w:t>
            </w:r>
          </w:p>
        </w:tc>
      </w:tr>
      <w:tr w:rsidR="00924DF4" w:rsidRPr="00BD5797" w:rsidTr="00AC31C1">
        <w:tc>
          <w:tcPr>
            <w:tcW w:w="550" w:type="dxa"/>
          </w:tcPr>
          <w:p w:rsidR="00924DF4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924DF4" w:rsidRPr="00BD5797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legal and family mediation service delivery update</w:t>
            </w:r>
          </w:p>
        </w:tc>
        <w:tc>
          <w:tcPr>
            <w:tcW w:w="1457" w:type="dxa"/>
          </w:tcPr>
          <w:p w:rsidR="00924DF4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CEO</w:t>
            </w:r>
          </w:p>
          <w:p w:rsidR="008C68F2" w:rsidRPr="00BD5797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Family Mediation</w:t>
            </w:r>
          </w:p>
        </w:tc>
        <w:tc>
          <w:tcPr>
            <w:tcW w:w="7771" w:type="dxa"/>
          </w:tcPr>
          <w:p w:rsidR="008C68F2" w:rsidRDefault="000F77CA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CEO outlined that </w:t>
            </w:r>
            <w:r>
              <w:rPr>
                <w:rFonts w:ascii="Arial" w:hAnsi="Arial" w:cs="Arial"/>
                <w:sz w:val="24"/>
                <w:szCs w:val="24"/>
              </w:rPr>
              <w:t>the engagement</w:t>
            </w:r>
            <w:r w:rsidR="00A74FC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Department of Justice and Equality in relation to 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fees for the </w:t>
            </w:r>
            <w:r>
              <w:rPr>
                <w:rFonts w:ascii="Arial" w:hAnsi="Arial" w:cs="Arial"/>
                <w:sz w:val="24"/>
                <w:szCs w:val="24"/>
              </w:rPr>
              <w:t>Private Practitioner District Court S</w:t>
            </w:r>
            <w:r w:rsidR="008C68F2">
              <w:rPr>
                <w:rFonts w:ascii="Arial" w:hAnsi="Arial" w:cs="Arial"/>
                <w:sz w:val="24"/>
                <w:szCs w:val="24"/>
              </w:rPr>
              <w:t>cheme</w:t>
            </w:r>
            <w:r>
              <w:rPr>
                <w:rFonts w:ascii="Arial" w:hAnsi="Arial" w:cs="Arial"/>
                <w:sz w:val="24"/>
                <w:szCs w:val="24"/>
              </w:rPr>
              <w:t xml:space="preserve">, the terms and conditions for the retention of counsel and the fees payable to experts were ongoing. The CEO noted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that there were problems in some areas with private practitioner coverage.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A74FCF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that t</w:t>
            </w:r>
            <w:r w:rsidR="008C68F2">
              <w:rPr>
                <w:rFonts w:ascii="Arial" w:hAnsi="Arial" w:cs="Arial"/>
                <w:sz w:val="24"/>
                <w:szCs w:val="24"/>
              </w:rPr>
              <w:t>here is a Departmental transformation programme underway which will have an “Access to Justice” unit.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A74FCF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</w:t>
            </w:r>
            <w:r w:rsidR="00230331">
              <w:rPr>
                <w:rFonts w:ascii="Arial" w:hAnsi="Arial" w:cs="Arial"/>
                <w:sz w:val="24"/>
                <w:szCs w:val="24"/>
              </w:rPr>
              <w:t>observed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0F77CA">
              <w:rPr>
                <w:rFonts w:ascii="Arial" w:hAnsi="Arial" w:cs="Arial"/>
                <w:sz w:val="24"/>
                <w:szCs w:val="24"/>
              </w:rPr>
              <w:t>‘</w:t>
            </w:r>
            <w:r w:rsidR="008C68F2">
              <w:rPr>
                <w:rFonts w:ascii="Arial" w:hAnsi="Arial" w:cs="Arial"/>
                <w:sz w:val="24"/>
                <w:szCs w:val="24"/>
              </w:rPr>
              <w:t>voice of the child</w:t>
            </w:r>
            <w:r w:rsidR="000F77CA">
              <w:rPr>
                <w:rFonts w:ascii="Arial" w:hAnsi="Arial" w:cs="Arial"/>
                <w:sz w:val="24"/>
                <w:szCs w:val="24"/>
              </w:rPr>
              <w:t>’ R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egulations and the associated fee structure </w:t>
            </w:r>
            <w:r w:rsidR="00230331">
              <w:rPr>
                <w:rFonts w:ascii="Arial" w:hAnsi="Arial" w:cs="Arial"/>
                <w:sz w:val="24"/>
                <w:szCs w:val="24"/>
              </w:rPr>
              <w:t>had not led to significant changes in the practice model in terms of significantly increasing the number of experts or expert reports</w:t>
            </w:r>
            <w:r w:rsidR="008C68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CEO outlined that the Board’s Annual Conference would be on the 25</w:t>
            </w:r>
            <w:r w:rsidRPr="008C68F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in the Law Society. As </w:t>
            </w:r>
            <w:r w:rsidR="000F77CA">
              <w:rPr>
                <w:rFonts w:ascii="Arial" w:hAnsi="Arial" w:cs="Arial"/>
                <w:sz w:val="24"/>
                <w:szCs w:val="24"/>
              </w:rPr>
              <w:t xml:space="preserve">it was </w:t>
            </w:r>
            <w:r>
              <w:rPr>
                <w:rFonts w:ascii="Arial" w:hAnsi="Arial" w:cs="Arial"/>
                <w:sz w:val="24"/>
                <w:szCs w:val="24"/>
              </w:rPr>
              <w:t>last year</w:t>
            </w:r>
            <w:r w:rsidR="000F77CA">
              <w:rPr>
                <w:rFonts w:ascii="Arial" w:hAnsi="Arial" w:cs="Arial"/>
                <w:sz w:val="24"/>
                <w:szCs w:val="24"/>
              </w:rPr>
              <w:t>, the theme will be family justice r</w:t>
            </w:r>
            <w:r>
              <w:rPr>
                <w:rFonts w:ascii="Arial" w:hAnsi="Arial" w:cs="Arial"/>
                <w:sz w:val="24"/>
                <w:szCs w:val="24"/>
              </w:rPr>
              <w:t>eform. It was suggested there should be a focus on legal aid also and the C</w:t>
            </w:r>
            <w:r w:rsidR="000F77CA">
              <w:rPr>
                <w:rFonts w:ascii="Arial" w:hAnsi="Arial" w:cs="Arial"/>
                <w:sz w:val="24"/>
                <w:szCs w:val="24"/>
              </w:rPr>
              <w:t>EO said he would reflect on this but he would be keener to do so in the context of the impact of legal aid on the consideration / processing of family disputes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FMcA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gave a </w:t>
            </w:r>
            <w:r w:rsidR="000F77CA">
              <w:rPr>
                <w:rFonts w:ascii="Arial" w:hAnsi="Arial" w:cs="Arial"/>
                <w:sz w:val="24"/>
                <w:szCs w:val="24"/>
              </w:rPr>
              <w:t>family mediation update. She noted that there is effort to engage in s</w:t>
            </w:r>
            <w:r>
              <w:rPr>
                <w:rFonts w:ascii="Arial" w:hAnsi="Arial" w:cs="Arial"/>
                <w:sz w:val="24"/>
                <w:szCs w:val="24"/>
              </w:rPr>
              <w:t>trategic planning for mediation</w:t>
            </w:r>
            <w:r w:rsidR="000F77CA">
              <w:rPr>
                <w:rFonts w:ascii="Arial" w:hAnsi="Arial" w:cs="Arial"/>
                <w:sz w:val="24"/>
                <w:szCs w:val="24"/>
              </w:rPr>
              <w:t xml:space="preserve"> and its role in the family dispute resolution process.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is now a research </w:t>
            </w:r>
            <w:r w:rsidR="000F77CA">
              <w:rPr>
                <w:rFonts w:ascii="Arial" w:hAnsi="Arial" w:cs="Arial"/>
                <w:sz w:val="24"/>
                <w:szCs w:val="24"/>
              </w:rPr>
              <w:t xml:space="preserve">function within the Board and it is </w:t>
            </w:r>
            <w:r w:rsidR="00902657">
              <w:rPr>
                <w:rFonts w:ascii="Arial" w:hAnsi="Arial" w:cs="Arial"/>
                <w:sz w:val="24"/>
                <w:szCs w:val="24"/>
              </w:rPr>
              <w:t>looking at a number of issues that can inform the future development of the services. A number of the Board’s law centres and family mediation centres are now co-located and while this offers significant opportunity</w:t>
            </w:r>
            <w:r w:rsidR="00A74FCF">
              <w:rPr>
                <w:rFonts w:ascii="Arial" w:hAnsi="Arial" w:cs="Arial"/>
                <w:sz w:val="24"/>
                <w:szCs w:val="24"/>
              </w:rPr>
              <w:t>,</w:t>
            </w:r>
            <w:r w:rsidR="009026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it was acknowledged that </w:t>
            </w:r>
            <w:r w:rsidR="00902657">
              <w:rPr>
                <w:rFonts w:ascii="Arial" w:hAnsi="Arial" w:cs="Arial"/>
                <w:sz w:val="24"/>
                <w:szCs w:val="24"/>
              </w:rPr>
              <w:t xml:space="preserve">as the law centre will be acting for one party only  the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 of impartiality can be raised and </w:t>
            </w:r>
            <w:r w:rsidR="00902657">
              <w:rPr>
                <w:rFonts w:ascii="Arial" w:hAnsi="Arial" w:cs="Arial"/>
                <w:sz w:val="24"/>
                <w:szCs w:val="24"/>
              </w:rPr>
              <w:t>the Board is striving to be mindful of ensuring the required ‘separateness’ between the two services.</w:t>
            </w:r>
          </w:p>
          <w:p w:rsidR="00184CC7" w:rsidRPr="00BD5797" w:rsidRDefault="00184CC7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924DF4" w:rsidRPr="00BD5797" w:rsidRDefault="00924DF4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9E" w:rsidRPr="00BD5797" w:rsidTr="00AC31C1">
        <w:tc>
          <w:tcPr>
            <w:tcW w:w="550" w:type="dxa"/>
          </w:tcPr>
          <w:p w:rsidR="0011249E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5" w:type="dxa"/>
          </w:tcPr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and Conveyancing Law Reform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(Amendment) Act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Abhaile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11249E" w:rsidRPr="00BD5797" w:rsidRDefault="0011249E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249E" w:rsidRPr="00BD5797" w:rsidRDefault="0011249E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C5D70">
              <w:rPr>
                <w:rFonts w:ascii="Arial" w:hAnsi="Arial" w:cs="Arial"/>
                <w:sz w:val="24"/>
                <w:szCs w:val="24"/>
              </w:rPr>
              <w:t>Land and Conveyancing Law Reform (Amendment) Act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signed into law </w:t>
            </w:r>
            <w:r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C5D7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ommencement Order is awaited. The legislation introduces issues, other than the debt itself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 and subject to certain pre-requisites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Court </w:t>
            </w:r>
            <w:r w:rsidR="00A74FCF">
              <w:rPr>
                <w:rFonts w:ascii="Arial" w:hAnsi="Arial" w:cs="Arial"/>
                <w:sz w:val="24"/>
                <w:szCs w:val="24"/>
              </w:rPr>
              <w:t>is required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consider before granting 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repossession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 order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C5D70">
              <w:rPr>
                <w:rFonts w:ascii="Arial" w:hAnsi="Arial" w:cs="Arial"/>
                <w:sz w:val="24"/>
                <w:szCs w:val="24"/>
              </w:rPr>
              <w:t>The CEO noted that i</w:t>
            </w:r>
            <w:r>
              <w:rPr>
                <w:rFonts w:ascii="Arial" w:hAnsi="Arial" w:cs="Arial"/>
                <w:sz w:val="24"/>
                <w:szCs w:val="24"/>
              </w:rPr>
              <w:t xml:space="preserve">n general </w:t>
            </w:r>
            <w:r w:rsidR="007C5D70">
              <w:rPr>
                <w:rFonts w:ascii="Arial" w:hAnsi="Arial" w:cs="Arial"/>
                <w:sz w:val="24"/>
                <w:szCs w:val="24"/>
              </w:rPr>
              <w:t>the Board deals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few repossession cases but this legislation </w:t>
            </w:r>
            <w:r w:rsidR="00902657">
              <w:rPr>
                <w:rFonts w:ascii="Arial" w:hAnsi="Arial" w:cs="Arial"/>
                <w:sz w:val="24"/>
                <w:szCs w:val="24"/>
              </w:rPr>
              <w:t>could</w:t>
            </w:r>
            <w:r>
              <w:rPr>
                <w:rFonts w:ascii="Arial" w:hAnsi="Arial" w:cs="Arial"/>
                <w:sz w:val="24"/>
                <w:szCs w:val="24"/>
              </w:rPr>
              <w:t xml:space="preserve"> mean that more cases meet the merits test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 that is set out in the Civil Legal Aid Act 1995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At the moment there is no additional </w:t>
            </w:r>
            <w:r>
              <w:rPr>
                <w:rFonts w:ascii="Arial" w:hAnsi="Arial" w:cs="Arial"/>
                <w:sz w:val="24"/>
                <w:szCs w:val="24"/>
              </w:rPr>
              <w:t>funding to meet any such increase in demand. Some amendments to the Bill which modified the merits test were disallowed as they were not cost neutral.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PJ noted that the legislation does not deal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retrospectivity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02657">
              <w:rPr>
                <w:rFonts w:ascii="Arial" w:hAnsi="Arial" w:cs="Arial"/>
                <w:sz w:val="24"/>
                <w:szCs w:val="24"/>
              </w:rPr>
              <w:t xml:space="preserve"> this could have a major impact </w:t>
            </w:r>
            <w:r>
              <w:rPr>
                <w:rFonts w:ascii="Arial" w:hAnsi="Arial" w:cs="Arial"/>
                <w:sz w:val="24"/>
                <w:szCs w:val="24"/>
              </w:rPr>
              <w:t xml:space="preserve">on demand. It is likely the credit institutions will object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retrospectivity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 will </w:t>
            </w:r>
            <w:r w:rsidR="00902657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>flag</w:t>
            </w:r>
            <w:r w:rsidR="00902657">
              <w:rPr>
                <w:rFonts w:ascii="Arial" w:hAnsi="Arial" w:cs="Arial"/>
                <w:sz w:val="24"/>
                <w:szCs w:val="24"/>
              </w:rPr>
              <w:t>ging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D70">
              <w:rPr>
                <w:rFonts w:ascii="Arial" w:hAnsi="Arial" w:cs="Arial"/>
                <w:sz w:val="24"/>
                <w:szCs w:val="24"/>
              </w:rPr>
              <w:t>the potential impact of the legislation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902657">
              <w:rPr>
                <w:rFonts w:ascii="Arial" w:hAnsi="Arial" w:cs="Arial"/>
                <w:sz w:val="24"/>
                <w:szCs w:val="24"/>
              </w:rPr>
              <w:t>its budgetary submission</w:t>
            </w:r>
            <w:r w:rsidR="00C60840">
              <w:rPr>
                <w:rFonts w:ascii="Arial" w:hAnsi="Arial" w:cs="Arial"/>
                <w:sz w:val="24"/>
                <w:szCs w:val="24"/>
              </w:rPr>
              <w:t xml:space="preserve"> for 2020.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MABS JM/BB gave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Abhaile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update. Consultation vouchers and S.115A reviews have increased in the first quarter. </w:t>
            </w:r>
            <w:r w:rsidR="00C6084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likely that applicants are waiting on the legislation. A further communications campaign will commence in September.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PJ raised a query if it was possible to identify those who are getting vouchers that are 2 years and more in arrears. MABS or LAB do not have this information. The Insolvency Service of Ireland may have this.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RD outlined that </w:t>
            </w:r>
            <w:r w:rsidR="00C60840">
              <w:rPr>
                <w:rFonts w:ascii="Arial" w:hAnsi="Arial" w:cs="Arial"/>
                <w:sz w:val="24"/>
                <w:szCs w:val="24"/>
              </w:rPr>
              <w:t>of the three</w:t>
            </w:r>
            <w:r>
              <w:rPr>
                <w:rFonts w:ascii="Arial" w:hAnsi="Arial" w:cs="Arial"/>
                <w:sz w:val="24"/>
                <w:szCs w:val="24"/>
              </w:rPr>
              <w:t xml:space="preserve"> legal services the main focus of the LAB is on </w:t>
            </w:r>
            <w:r w:rsidR="00C6084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S.115A</w:t>
            </w:r>
            <w:r w:rsidR="00C60840">
              <w:rPr>
                <w:rFonts w:ascii="Arial" w:hAnsi="Arial" w:cs="Arial"/>
                <w:sz w:val="24"/>
                <w:szCs w:val="24"/>
              </w:rPr>
              <w:t xml:space="preserve"> cases given the cost of these cases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0840">
              <w:rPr>
                <w:rFonts w:ascii="Arial" w:hAnsi="Arial" w:cs="Arial"/>
                <w:sz w:val="24"/>
                <w:szCs w:val="24"/>
              </w:rPr>
              <w:t>He noted that the Board was working on improving its decision making in relation to legal aid for these cases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PJ noted that </w:t>
            </w:r>
            <w:r w:rsidR="00C60840">
              <w:rPr>
                <w:rFonts w:ascii="Arial" w:hAnsi="Arial" w:cs="Arial"/>
                <w:sz w:val="24"/>
                <w:szCs w:val="24"/>
              </w:rPr>
              <w:t xml:space="preserve">the number of persons who have completed a Personal Insolvency Arrangement remains relatively small in the context of the level of mortgage arrears that </w:t>
            </w:r>
            <w:r w:rsidR="00A74FCF">
              <w:rPr>
                <w:rFonts w:ascii="Arial" w:hAnsi="Arial" w:cs="Arial"/>
                <w:sz w:val="24"/>
                <w:szCs w:val="24"/>
              </w:rPr>
              <w:t>exists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7C5D70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CEO </w:t>
            </w:r>
            <w:r>
              <w:rPr>
                <w:rFonts w:ascii="Arial" w:hAnsi="Arial" w:cs="Arial"/>
                <w:sz w:val="24"/>
                <w:szCs w:val="24"/>
              </w:rPr>
              <w:t xml:space="preserve">noted that although no decision has been made on whether the </w:t>
            </w:r>
            <w:proofErr w:type="spellStart"/>
            <w:r w:rsidR="00A74FCF">
              <w:rPr>
                <w:rFonts w:ascii="Arial" w:hAnsi="Arial" w:cs="Arial"/>
                <w:sz w:val="24"/>
                <w:szCs w:val="24"/>
              </w:rPr>
              <w:t>Abhaile</w:t>
            </w:r>
            <w:proofErr w:type="spellEnd"/>
            <w:r w:rsidR="00A74F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cheme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be extended, </w:t>
            </w:r>
            <w:r w:rsidR="008C68F2">
              <w:rPr>
                <w:rFonts w:ascii="Arial" w:hAnsi="Arial" w:cs="Arial"/>
                <w:sz w:val="24"/>
                <w:szCs w:val="24"/>
              </w:rPr>
              <w:t>the working assumption is that it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>
              <w:rPr>
                <w:rFonts w:ascii="Arial" w:hAnsi="Arial" w:cs="Arial"/>
                <w:sz w:val="24"/>
                <w:szCs w:val="24"/>
              </w:rPr>
              <w:t>Scheme’s Steering G</w:t>
            </w:r>
            <w:r w:rsidR="008C68F2">
              <w:rPr>
                <w:rFonts w:ascii="Arial" w:hAnsi="Arial" w:cs="Arial"/>
                <w:sz w:val="24"/>
                <w:szCs w:val="24"/>
              </w:rPr>
              <w:t xml:space="preserve">roup is meeting again shortly. </w:t>
            </w:r>
            <w:r>
              <w:rPr>
                <w:rFonts w:ascii="Arial" w:hAnsi="Arial" w:cs="Arial"/>
                <w:sz w:val="24"/>
                <w:szCs w:val="24"/>
              </w:rPr>
              <w:t xml:space="preserve">The Group is 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jointly </w:t>
            </w:r>
            <w:r>
              <w:rPr>
                <w:rFonts w:ascii="Arial" w:hAnsi="Arial" w:cs="Arial"/>
                <w:sz w:val="24"/>
                <w:szCs w:val="24"/>
              </w:rPr>
              <w:t>led by the Department of Justice and Equality and the Department of Employment and Social Protection</w:t>
            </w:r>
            <w:r w:rsidR="008C68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249E" w:rsidRPr="00BD5797" w:rsidRDefault="0011249E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11249E" w:rsidRPr="00BD5797" w:rsidRDefault="0011249E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CCB" w:rsidRPr="00BD5797" w:rsidTr="00AC31C1">
        <w:tc>
          <w:tcPr>
            <w:tcW w:w="550" w:type="dxa"/>
          </w:tcPr>
          <w:p w:rsidR="00E07CCB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5" w:type="dxa"/>
          </w:tcPr>
          <w:p w:rsidR="00E07CCB" w:rsidRPr="00BD5797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Protection</w:t>
            </w:r>
          </w:p>
        </w:tc>
        <w:tc>
          <w:tcPr>
            <w:tcW w:w="1457" w:type="dxa"/>
          </w:tcPr>
          <w:p w:rsidR="00711965" w:rsidRPr="00BD5797" w:rsidRDefault="00711965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issue was discussed at the earlier B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oard meeting, the discussion extending to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 provision and the duration people in the </w:t>
            </w:r>
            <w:r w:rsidR="00A74FCF">
              <w:rPr>
                <w:rFonts w:ascii="Arial" w:hAnsi="Arial" w:cs="Arial"/>
                <w:sz w:val="24"/>
                <w:szCs w:val="24"/>
              </w:rPr>
              <w:t xml:space="preserve">processing / direct provision </w:t>
            </w:r>
            <w:r>
              <w:rPr>
                <w:rFonts w:ascii="Arial" w:hAnsi="Arial" w:cs="Arial"/>
                <w:sz w:val="24"/>
                <w:szCs w:val="24"/>
              </w:rPr>
              <w:t>system.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KM IRC noted that the </w:t>
            </w:r>
            <w:r w:rsidR="007C5D70">
              <w:rPr>
                <w:rFonts w:ascii="Arial" w:hAnsi="Arial" w:cs="Arial"/>
                <w:sz w:val="24"/>
                <w:szCs w:val="24"/>
              </w:rPr>
              <w:t>accommodation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crisis has resulted in International Protection applicants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ending up </w:t>
            </w:r>
            <w:r>
              <w:rPr>
                <w:rFonts w:ascii="Arial" w:hAnsi="Arial" w:cs="Arial"/>
                <w:sz w:val="24"/>
                <w:szCs w:val="24"/>
              </w:rPr>
              <w:t>in emergency accommodation and this can result in practical issues and access to information issues. By way o</w:t>
            </w:r>
            <w:r w:rsidR="007C5D70">
              <w:rPr>
                <w:rFonts w:ascii="Arial" w:hAnsi="Arial" w:cs="Arial"/>
                <w:sz w:val="24"/>
                <w:szCs w:val="24"/>
              </w:rPr>
              <w:t>f example there are six</w:t>
            </w:r>
            <w:r>
              <w:rPr>
                <w:rFonts w:ascii="Arial" w:hAnsi="Arial" w:cs="Arial"/>
                <w:sz w:val="24"/>
                <w:szCs w:val="24"/>
              </w:rPr>
              <w:t xml:space="preserve"> different centres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7C5D70">
              <w:rPr>
                <w:rFonts w:ascii="Arial" w:hAnsi="Arial" w:cs="Arial"/>
                <w:sz w:val="24"/>
                <w:szCs w:val="24"/>
              </w:rPr>
              <w:t>Carrickmacross</w:t>
            </w:r>
            <w:proofErr w:type="spellEnd"/>
            <w:r w:rsidR="007C5D70">
              <w:rPr>
                <w:rFonts w:ascii="Arial" w:hAnsi="Arial" w:cs="Arial"/>
                <w:sz w:val="24"/>
                <w:szCs w:val="24"/>
              </w:rPr>
              <w:t xml:space="preserve"> at the moment.</w:t>
            </w:r>
            <w:r>
              <w:rPr>
                <w:rFonts w:ascii="Arial" w:hAnsi="Arial" w:cs="Arial"/>
                <w:sz w:val="24"/>
                <w:szCs w:val="24"/>
              </w:rPr>
              <w:t xml:space="preserve"> Hatch Hall in Dublin will be closing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shortly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6F0A">
              <w:rPr>
                <w:rFonts w:ascii="Arial" w:hAnsi="Arial" w:cs="Arial"/>
                <w:sz w:val="24"/>
                <w:szCs w:val="24"/>
              </w:rPr>
              <w:t>While the Reception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Directive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was introduced a year ago it was noted there was concern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vulnerability assessments </w:t>
            </w:r>
            <w:r w:rsidR="00456F0A">
              <w:rPr>
                <w:rFonts w:ascii="Arial" w:hAnsi="Arial" w:cs="Arial"/>
                <w:sz w:val="24"/>
                <w:szCs w:val="24"/>
              </w:rPr>
              <w:t>may not be conducted as extensively as they should be. KM enquired if LAB is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providing </w:t>
            </w:r>
            <w:r w:rsidR="00456F0A">
              <w:rPr>
                <w:rFonts w:ascii="Arial" w:hAnsi="Arial" w:cs="Arial"/>
                <w:sz w:val="24"/>
                <w:szCs w:val="24"/>
              </w:rPr>
              <w:t>legal services re the Reception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Directive.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The CEO </w:t>
            </w:r>
            <w:r w:rsidR="007C5D70">
              <w:rPr>
                <w:rFonts w:ascii="Arial" w:hAnsi="Arial" w:cs="Arial"/>
                <w:sz w:val="24"/>
                <w:szCs w:val="24"/>
              </w:rPr>
              <w:lastRenderedPageBreak/>
              <w:t xml:space="preserve">confirmed that fees for such applications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form part of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submission to the Minister. KM also noted LAB does not provide services for family reunification including family reunification for unaccompanied minors. KM noted that the questionnaire is a 62 page document and it does need time.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CEO ack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nowledged this. He noted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that the Board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was working on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its level of </w:t>
            </w:r>
            <w:r>
              <w:rPr>
                <w:rFonts w:ascii="Arial" w:hAnsi="Arial" w:cs="Arial"/>
                <w:sz w:val="24"/>
                <w:szCs w:val="24"/>
              </w:rPr>
              <w:t>quality assurance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in relation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to IP </w:t>
            </w:r>
            <w:r w:rsidR="007C5D70">
              <w:rPr>
                <w:rFonts w:ascii="Arial" w:hAnsi="Arial" w:cs="Arial"/>
                <w:sz w:val="24"/>
                <w:szCs w:val="24"/>
              </w:rPr>
              <w:t>work</w:t>
            </w:r>
            <w:r w:rsidR="00456F0A">
              <w:rPr>
                <w:rFonts w:ascii="Arial" w:hAnsi="Arial" w:cs="Arial"/>
                <w:sz w:val="24"/>
                <w:szCs w:val="24"/>
              </w:rPr>
              <w:t>, and particularly work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that private solicitors on its panel are doing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noted that minimum standards for direction provision, which will include inspections, are due to commence in 2021.</w:t>
            </w:r>
          </w:p>
          <w:p w:rsidR="003A0684" w:rsidRPr="00BD5797" w:rsidRDefault="003A0684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E07CCB" w:rsidRPr="00BD5797" w:rsidRDefault="00E07CCB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068" w:rsidRPr="00BD5797" w:rsidTr="00AC31C1">
        <w:tc>
          <w:tcPr>
            <w:tcW w:w="550" w:type="dxa"/>
          </w:tcPr>
          <w:p w:rsidR="008F2068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5" w:type="dxa"/>
          </w:tcPr>
          <w:p w:rsidR="008F2068" w:rsidRPr="00BD5797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de table</w:t>
            </w:r>
          </w:p>
        </w:tc>
        <w:tc>
          <w:tcPr>
            <w:tcW w:w="1457" w:type="dxa"/>
          </w:tcPr>
          <w:p w:rsidR="00E24C75" w:rsidRPr="00BD5797" w:rsidRDefault="00E24C75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 – They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(MABS)</w:t>
            </w:r>
            <w:r>
              <w:rPr>
                <w:rFonts w:ascii="Arial" w:hAnsi="Arial" w:cs="Arial"/>
                <w:sz w:val="24"/>
                <w:szCs w:val="24"/>
              </w:rPr>
              <w:t xml:space="preserve"> are currently restructuring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nd internally looking at quality.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JO’M –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The Law Society is hosting its family law </w:t>
            </w:r>
            <w:r>
              <w:rPr>
                <w:rFonts w:ascii="Arial" w:hAnsi="Arial" w:cs="Arial"/>
                <w:sz w:val="24"/>
                <w:szCs w:val="24"/>
              </w:rPr>
              <w:t xml:space="preserve">Conference in November. There are still no Circuit Court rules for Domestic Violence. There are Heads of a Bill but still no legislation following the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divorce </w:t>
            </w:r>
            <w:r>
              <w:rPr>
                <w:rFonts w:ascii="Arial" w:hAnsi="Arial" w:cs="Arial"/>
                <w:sz w:val="24"/>
                <w:szCs w:val="24"/>
              </w:rPr>
              <w:t xml:space="preserve">referendum.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The development of </w:t>
            </w:r>
            <w:r>
              <w:rPr>
                <w:rFonts w:ascii="Arial" w:hAnsi="Arial" w:cs="Arial"/>
                <w:sz w:val="24"/>
                <w:szCs w:val="24"/>
              </w:rPr>
              <w:t xml:space="preserve">Hammond Lane and the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condition of the </w:t>
            </w:r>
            <w:proofErr w:type="spellStart"/>
            <w:r w:rsidR="007C5D70">
              <w:rPr>
                <w:rFonts w:ascii="Arial" w:hAnsi="Arial" w:cs="Arial"/>
                <w:sz w:val="24"/>
                <w:szCs w:val="24"/>
              </w:rPr>
              <w:t>Bridewell</w:t>
            </w:r>
            <w:proofErr w:type="spellEnd"/>
            <w:r w:rsidR="007C5D70">
              <w:rPr>
                <w:rFonts w:ascii="Arial" w:hAnsi="Arial" w:cs="Arial"/>
                <w:sz w:val="24"/>
                <w:szCs w:val="24"/>
              </w:rPr>
              <w:t xml:space="preserve"> Court are </w:t>
            </w:r>
            <w:r>
              <w:rPr>
                <w:rFonts w:ascii="Arial" w:hAnsi="Arial" w:cs="Arial"/>
                <w:sz w:val="24"/>
                <w:szCs w:val="24"/>
              </w:rPr>
              <w:t>issue</w:t>
            </w:r>
            <w:r w:rsidR="007C5D7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practitioners.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 – The Department of Children and Youth Affairs is working on legislation that will provide</w:t>
            </w:r>
            <w:r w:rsidRPr="0084392F">
              <w:rPr>
                <w:rFonts w:ascii="Arial" w:hAnsi="Arial" w:cs="Arial"/>
                <w:sz w:val="24"/>
                <w:szCs w:val="24"/>
              </w:rPr>
              <w:t xml:space="preserve"> more extensive provisions relating to Guardians ad litem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5D70">
              <w:rPr>
                <w:rFonts w:ascii="Arial" w:hAnsi="Arial" w:cs="Arial"/>
                <w:sz w:val="24"/>
                <w:szCs w:val="24"/>
              </w:rPr>
              <w:t>Barnardos</w:t>
            </w:r>
            <w:proofErr w:type="spellEnd"/>
            <w:r w:rsidR="007C5D70">
              <w:rPr>
                <w:rFonts w:ascii="Arial" w:hAnsi="Arial" w:cs="Arial"/>
                <w:sz w:val="24"/>
                <w:szCs w:val="24"/>
              </w:rPr>
              <w:t xml:space="preserve"> are being consulted.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KM – </w:t>
            </w:r>
            <w:r w:rsidR="007C5D70">
              <w:rPr>
                <w:rFonts w:ascii="Arial" w:hAnsi="Arial" w:cs="Arial"/>
                <w:sz w:val="24"/>
                <w:szCs w:val="24"/>
              </w:rPr>
              <w:t xml:space="preserve">(Irish Refugee Council) </w:t>
            </w:r>
            <w:r>
              <w:rPr>
                <w:rFonts w:ascii="Arial" w:hAnsi="Arial" w:cs="Arial"/>
                <w:sz w:val="24"/>
                <w:szCs w:val="24"/>
              </w:rPr>
              <w:t>As above.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PJ/EB – </w:t>
            </w:r>
            <w:r w:rsidR="007C5D70">
              <w:rPr>
                <w:rFonts w:ascii="Arial" w:hAnsi="Arial" w:cs="Arial"/>
                <w:sz w:val="24"/>
                <w:szCs w:val="24"/>
              </w:rPr>
              <w:t>FLAC</w:t>
            </w:r>
            <w:r>
              <w:rPr>
                <w:rFonts w:ascii="Arial" w:hAnsi="Arial" w:cs="Arial"/>
                <w:sz w:val="24"/>
                <w:szCs w:val="24"/>
              </w:rPr>
              <w:t xml:space="preserve"> made an appearance before the Seanad concerning travellers and made submissions regarding legal aid - LAB should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conduct an information campaign on pub discrimination cases and housing cases. An application has been made for funding for a travellers legal clinic. There is so</w:t>
            </w:r>
            <w:r w:rsidR="00A50CC2">
              <w:rPr>
                <w:rFonts w:ascii="Arial" w:hAnsi="Arial" w:cs="Arial"/>
                <w:sz w:val="24"/>
                <w:szCs w:val="24"/>
              </w:rPr>
              <w:t>me D</w:t>
            </w:r>
            <w:r>
              <w:rPr>
                <w:rFonts w:ascii="Arial" w:hAnsi="Arial" w:cs="Arial"/>
                <w:sz w:val="24"/>
                <w:szCs w:val="24"/>
              </w:rPr>
              <w:t>epartmental funding in place for a Roma clinic.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 – </w:t>
            </w:r>
            <w:r w:rsidR="00A50CC2">
              <w:rPr>
                <w:rFonts w:ascii="Arial" w:hAnsi="Arial" w:cs="Arial"/>
                <w:sz w:val="24"/>
                <w:szCs w:val="24"/>
              </w:rPr>
              <w:t>A n</w:t>
            </w:r>
            <w:r>
              <w:rPr>
                <w:rFonts w:ascii="Arial" w:hAnsi="Arial" w:cs="Arial"/>
                <w:sz w:val="24"/>
                <w:szCs w:val="24"/>
              </w:rPr>
              <w:t xml:space="preserve">ew CEO </w:t>
            </w:r>
            <w:r w:rsidR="00A50CC2">
              <w:rPr>
                <w:rFonts w:ascii="Arial" w:hAnsi="Arial" w:cs="Arial"/>
                <w:sz w:val="24"/>
                <w:szCs w:val="24"/>
              </w:rPr>
              <w:t xml:space="preserve">for the Courts Service </w:t>
            </w:r>
            <w:r>
              <w:rPr>
                <w:rFonts w:ascii="Arial" w:hAnsi="Arial" w:cs="Arial"/>
                <w:sz w:val="24"/>
                <w:szCs w:val="24"/>
              </w:rPr>
              <w:t xml:space="preserve">(AD) </w:t>
            </w:r>
            <w:r w:rsidR="00A50CC2"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>
              <w:rPr>
                <w:rFonts w:ascii="Arial" w:hAnsi="Arial" w:cs="Arial"/>
                <w:sz w:val="24"/>
                <w:szCs w:val="24"/>
              </w:rPr>
              <w:t>appointed. There have been some senior management retirements, some new Judicial appointments and Hammond Lane is an ongoing issue.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–</w:t>
            </w:r>
            <w:r w:rsidR="00A50CC2">
              <w:rPr>
                <w:rFonts w:ascii="Arial" w:hAnsi="Arial" w:cs="Arial"/>
                <w:sz w:val="24"/>
                <w:szCs w:val="24"/>
              </w:rPr>
              <w:t xml:space="preserve">The Children’s Rights Alliance has recently published a Report on its Helplines and Legal Advice Clinics. The </w:t>
            </w:r>
            <w:r>
              <w:rPr>
                <w:rFonts w:ascii="Arial" w:hAnsi="Arial" w:cs="Arial"/>
                <w:sz w:val="24"/>
                <w:szCs w:val="24"/>
              </w:rPr>
              <w:t>clinics had over 300 contacts last year mostly concerning family law. Education is also a theme,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 notably</w:t>
            </w:r>
            <w:r>
              <w:rPr>
                <w:rFonts w:ascii="Arial" w:hAnsi="Arial" w:cs="Arial"/>
                <w:sz w:val="24"/>
                <w:szCs w:val="24"/>
              </w:rPr>
              <w:t xml:space="preserve"> exclusion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from school </w:t>
            </w:r>
            <w:r>
              <w:rPr>
                <w:rFonts w:ascii="Arial" w:hAnsi="Arial" w:cs="Arial"/>
                <w:sz w:val="24"/>
                <w:szCs w:val="24"/>
              </w:rPr>
              <w:t xml:space="preserve">cases. It has been a successful first year. The Childcare Act review is </w:t>
            </w:r>
            <w:r w:rsidR="00456F0A">
              <w:rPr>
                <w:rFonts w:ascii="Arial" w:hAnsi="Arial" w:cs="Arial"/>
                <w:sz w:val="24"/>
                <w:szCs w:val="24"/>
              </w:rPr>
              <w:t>progressing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– C</w:t>
            </w:r>
            <w:r w:rsidR="007E6C00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7E6C00">
              <w:rPr>
                <w:rFonts w:ascii="Arial" w:hAnsi="Arial" w:cs="Arial"/>
                <w:sz w:val="24"/>
                <w:szCs w:val="24"/>
              </w:rPr>
              <w:t xml:space="preserve">aw and Mediation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conduct the clinics for </w:t>
            </w:r>
            <w:r w:rsidR="007E6C0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E6C00">
              <w:rPr>
                <w:rFonts w:ascii="Arial" w:hAnsi="Arial" w:cs="Arial"/>
                <w:sz w:val="24"/>
                <w:szCs w:val="24"/>
              </w:rPr>
              <w:t xml:space="preserve">hildren’s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E6C00">
              <w:rPr>
                <w:rFonts w:ascii="Arial" w:hAnsi="Arial" w:cs="Arial"/>
                <w:sz w:val="24"/>
                <w:szCs w:val="24"/>
              </w:rPr>
              <w:t xml:space="preserve">ights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E6C00">
              <w:rPr>
                <w:rFonts w:ascii="Arial" w:hAnsi="Arial" w:cs="Arial"/>
                <w:sz w:val="24"/>
                <w:szCs w:val="24"/>
              </w:rPr>
              <w:t>lliance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. Education is a big issue. Family law and housing and employment are major query issues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at its offices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Coolock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There is a lack of knowledge of the LAB out there and that is something to consider. PJ noted that employment </w:t>
            </w:r>
            <w:r w:rsidR="00456F0A">
              <w:rPr>
                <w:rFonts w:ascii="Arial" w:hAnsi="Arial" w:cs="Arial"/>
                <w:sz w:val="24"/>
                <w:szCs w:val="24"/>
              </w:rPr>
              <w:t xml:space="preserve">law </w:t>
            </w:r>
            <w:r>
              <w:rPr>
                <w:rFonts w:ascii="Arial" w:hAnsi="Arial" w:cs="Arial"/>
                <w:sz w:val="24"/>
                <w:szCs w:val="24"/>
              </w:rPr>
              <w:t>is the second biggest topic for FLAC.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MC – </w:t>
            </w:r>
            <w:r w:rsidR="007E6C00">
              <w:rPr>
                <w:rFonts w:ascii="Arial" w:hAnsi="Arial" w:cs="Arial"/>
                <w:sz w:val="24"/>
                <w:szCs w:val="24"/>
              </w:rPr>
              <w:t>(SAGE) o</w:t>
            </w:r>
            <w:r>
              <w:rPr>
                <w:rFonts w:ascii="Arial" w:hAnsi="Arial" w:cs="Arial"/>
                <w:sz w:val="24"/>
                <w:szCs w:val="24"/>
              </w:rPr>
              <w:t xml:space="preserve">utlined cases of adults being made wards of court and “bed blocking” cases / deprivation of liberty cases. There </w:t>
            </w:r>
            <w:r w:rsidR="007E6C00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a lack of </w:t>
            </w:r>
            <w:r w:rsidR="00230331">
              <w:rPr>
                <w:rFonts w:ascii="Arial" w:hAnsi="Arial" w:cs="Arial"/>
                <w:sz w:val="24"/>
                <w:szCs w:val="24"/>
              </w:rPr>
              <w:t xml:space="preserve">referral to </w:t>
            </w:r>
            <w:r>
              <w:rPr>
                <w:rFonts w:ascii="Arial" w:hAnsi="Arial" w:cs="Arial"/>
                <w:sz w:val="24"/>
                <w:szCs w:val="24"/>
              </w:rPr>
              <w:t>advocates to support the person. There is a need to change the culture and this is often a case of family conflict. SC noted many care representative applications to the Courts but a lack of clarity as to the correct procedure.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AC case </w:t>
            </w:r>
            <w:r w:rsidR="00456F0A">
              <w:rPr>
                <w:rFonts w:ascii="Arial" w:hAnsi="Arial" w:cs="Arial"/>
                <w:sz w:val="24"/>
                <w:szCs w:val="24"/>
              </w:rPr>
              <w:t>is a significant case involving the liberty of a person in a nursing home. The case w</w:t>
            </w:r>
            <w:r>
              <w:rPr>
                <w:rFonts w:ascii="Arial" w:hAnsi="Arial" w:cs="Arial"/>
                <w:sz w:val="24"/>
                <w:szCs w:val="24"/>
              </w:rPr>
              <w:t>as appealed to the Supreme Court, and a judgment is awaited.</w:t>
            </w: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C68F2" w:rsidRDefault="008C68F2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BB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Abhaile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only as above.</w:t>
            </w:r>
          </w:p>
          <w:p w:rsidR="00E24C75" w:rsidRPr="00BD5797" w:rsidRDefault="00E24C75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8F2068" w:rsidRPr="00BD5797" w:rsidRDefault="008F2068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C1" w:rsidRPr="00BD5797" w:rsidTr="00AC31C1">
        <w:tc>
          <w:tcPr>
            <w:tcW w:w="550" w:type="dxa"/>
          </w:tcPr>
          <w:p w:rsidR="00AC31C1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5" w:type="dxa"/>
          </w:tcPr>
          <w:p w:rsidR="00AC31C1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1457" w:type="dxa"/>
          </w:tcPr>
          <w:p w:rsidR="00AC31C1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AC31C1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 noted the information provided on waivers and asked if numbers could be provided on refusals of waivers and the number of appeals (for SL).</w:t>
            </w:r>
          </w:p>
          <w:p w:rsidR="00AC31C1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C31C1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PO’L thanked the attendees and noted the range of difficulties and issues that exist and stated that the voices of the vulnerable have to be heard. The CEO noted </w:t>
            </w:r>
            <w:r w:rsidR="00456F0A">
              <w:rPr>
                <w:rFonts w:ascii="Arial" w:hAnsi="Arial" w:cs="Arial"/>
                <w:sz w:val="24"/>
                <w:szCs w:val="24"/>
              </w:rPr>
              <w:t>the value of</w:t>
            </w:r>
            <w:r>
              <w:rPr>
                <w:rFonts w:ascii="Arial" w:hAnsi="Arial" w:cs="Arial"/>
                <w:sz w:val="24"/>
                <w:szCs w:val="24"/>
              </w:rPr>
              <w:t xml:space="preserve"> hear</w:t>
            </w:r>
            <w:r w:rsidR="00456F0A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different perspectives.</w:t>
            </w:r>
          </w:p>
          <w:p w:rsidR="00AC31C1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:rsidR="00AC31C1" w:rsidRPr="00BD5797" w:rsidRDefault="007E6C00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to revert to FLAC re numbers of waivers.</w:t>
            </w:r>
          </w:p>
        </w:tc>
      </w:tr>
      <w:tr w:rsidR="00CA0B0C" w:rsidRPr="00BD5797" w:rsidTr="00AC31C1">
        <w:tc>
          <w:tcPr>
            <w:tcW w:w="550" w:type="dxa"/>
          </w:tcPr>
          <w:p w:rsidR="00CA0B0C" w:rsidRPr="00BD5797" w:rsidRDefault="00AC31C1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A0B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CA0B0C" w:rsidRPr="00BD5797" w:rsidRDefault="00CA0B0C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457" w:type="dxa"/>
          </w:tcPr>
          <w:p w:rsidR="00CA0B0C" w:rsidRDefault="00CA0B0C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1" w:type="dxa"/>
          </w:tcPr>
          <w:p w:rsidR="00CA0B0C" w:rsidRDefault="00CA0B0C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next meeting will be </w:t>
            </w:r>
            <w:r w:rsidR="00843A12">
              <w:rPr>
                <w:rFonts w:ascii="Arial" w:hAnsi="Arial" w:cs="Arial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z w:val="24"/>
                <w:szCs w:val="24"/>
              </w:rPr>
              <w:t>. The details will be forwarded.</w:t>
            </w:r>
          </w:p>
        </w:tc>
        <w:tc>
          <w:tcPr>
            <w:tcW w:w="2111" w:type="dxa"/>
          </w:tcPr>
          <w:p w:rsidR="00CA0B0C" w:rsidRPr="00BD5797" w:rsidRDefault="00CA0B0C" w:rsidP="007E6C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182" w:rsidRPr="00BD5797" w:rsidRDefault="00655182" w:rsidP="00442D63">
      <w:pPr>
        <w:rPr>
          <w:rFonts w:ascii="Arial" w:hAnsi="Arial" w:cs="Arial"/>
          <w:sz w:val="24"/>
          <w:szCs w:val="24"/>
        </w:rPr>
      </w:pPr>
    </w:p>
    <w:sectPr w:rsidR="00655182" w:rsidRPr="00BD5797" w:rsidSect="0065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01" w:rsidRDefault="00426A01" w:rsidP="00426A01">
      <w:pPr>
        <w:spacing w:after="0" w:line="240" w:lineRule="auto"/>
      </w:pPr>
      <w:r>
        <w:separator/>
      </w:r>
    </w:p>
  </w:endnote>
  <w:endnote w:type="continuationSeparator" w:id="0">
    <w:p w:rsidR="00426A01" w:rsidRDefault="00426A01" w:rsidP="004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01" w:rsidRDefault="00426A01" w:rsidP="00426A01">
      <w:pPr>
        <w:spacing w:after="0" w:line="240" w:lineRule="auto"/>
      </w:pPr>
      <w:r>
        <w:separator/>
      </w:r>
    </w:p>
  </w:footnote>
  <w:footnote w:type="continuationSeparator" w:id="0">
    <w:p w:rsidR="00426A01" w:rsidRDefault="00426A01" w:rsidP="0042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01" w:rsidRDefault="0042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D"/>
    <w:rsid w:val="000106A6"/>
    <w:rsid w:val="00027D6D"/>
    <w:rsid w:val="00034F3C"/>
    <w:rsid w:val="000404D3"/>
    <w:rsid w:val="00055016"/>
    <w:rsid w:val="000644EE"/>
    <w:rsid w:val="00065EA9"/>
    <w:rsid w:val="00077292"/>
    <w:rsid w:val="000776E5"/>
    <w:rsid w:val="00081F74"/>
    <w:rsid w:val="000F2689"/>
    <w:rsid w:val="000F77CA"/>
    <w:rsid w:val="001032D8"/>
    <w:rsid w:val="0011249E"/>
    <w:rsid w:val="0011410A"/>
    <w:rsid w:val="0012298B"/>
    <w:rsid w:val="00132515"/>
    <w:rsid w:val="00136770"/>
    <w:rsid w:val="00152539"/>
    <w:rsid w:val="00177F9A"/>
    <w:rsid w:val="00180AB2"/>
    <w:rsid w:val="00184CC7"/>
    <w:rsid w:val="00222211"/>
    <w:rsid w:val="00230331"/>
    <w:rsid w:val="0024087E"/>
    <w:rsid w:val="00250ABA"/>
    <w:rsid w:val="002741D5"/>
    <w:rsid w:val="002949CE"/>
    <w:rsid w:val="00297108"/>
    <w:rsid w:val="002A69A6"/>
    <w:rsid w:val="002D21E6"/>
    <w:rsid w:val="002E6ED3"/>
    <w:rsid w:val="00320402"/>
    <w:rsid w:val="003322B1"/>
    <w:rsid w:val="00332F16"/>
    <w:rsid w:val="00351576"/>
    <w:rsid w:val="003676B3"/>
    <w:rsid w:val="00396BCE"/>
    <w:rsid w:val="003A0684"/>
    <w:rsid w:val="003A077D"/>
    <w:rsid w:val="003A1C42"/>
    <w:rsid w:val="003E210A"/>
    <w:rsid w:val="003F6666"/>
    <w:rsid w:val="004013ED"/>
    <w:rsid w:val="00404AD7"/>
    <w:rsid w:val="0040743A"/>
    <w:rsid w:val="00426A01"/>
    <w:rsid w:val="00442D63"/>
    <w:rsid w:val="0044680B"/>
    <w:rsid w:val="0045034D"/>
    <w:rsid w:val="00456F0A"/>
    <w:rsid w:val="00495664"/>
    <w:rsid w:val="004958A2"/>
    <w:rsid w:val="00495C3B"/>
    <w:rsid w:val="004D1B3C"/>
    <w:rsid w:val="004D3157"/>
    <w:rsid w:val="005016F9"/>
    <w:rsid w:val="00505B31"/>
    <w:rsid w:val="005214A4"/>
    <w:rsid w:val="005530B1"/>
    <w:rsid w:val="005673F4"/>
    <w:rsid w:val="005A1170"/>
    <w:rsid w:val="005A1998"/>
    <w:rsid w:val="005E74A4"/>
    <w:rsid w:val="0061177C"/>
    <w:rsid w:val="0062109E"/>
    <w:rsid w:val="00632381"/>
    <w:rsid w:val="00644050"/>
    <w:rsid w:val="00655182"/>
    <w:rsid w:val="0066078D"/>
    <w:rsid w:val="006754DF"/>
    <w:rsid w:val="00686F86"/>
    <w:rsid w:val="006A3F4B"/>
    <w:rsid w:val="006D6B29"/>
    <w:rsid w:val="00711965"/>
    <w:rsid w:val="00714A3A"/>
    <w:rsid w:val="007216D3"/>
    <w:rsid w:val="00747FCB"/>
    <w:rsid w:val="007528DB"/>
    <w:rsid w:val="00785E7F"/>
    <w:rsid w:val="00786EB2"/>
    <w:rsid w:val="007A6EFE"/>
    <w:rsid w:val="007B332E"/>
    <w:rsid w:val="007C54C7"/>
    <w:rsid w:val="007C5D70"/>
    <w:rsid w:val="007D23AE"/>
    <w:rsid w:val="007D3905"/>
    <w:rsid w:val="007E6C00"/>
    <w:rsid w:val="00843A12"/>
    <w:rsid w:val="008510CC"/>
    <w:rsid w:val="00856E65"/>
    <w:rsid w:val="008870BF"/>
    <w:rsid w:val="008A37DA"/>
    <w:rsid w:val="008C68F2"/>
    <w:rsid w:val="008D31E4"/>
    <w:rsid w:val="008F2068"/>
    <w:rsid w:val="008F7538"/>
    <w:rsid w:val="00902657"/>
    <w:rsid w:val="009117C0"/>
    <w:rsid w:val="009118E1"/>
    <w:rsid w:val="00924DF4"/>
    <w:rsid w:val="0094021F"/>
    <w:rsid w:val="009803BA"/>
    <w:rsid w:val="009B5222"/>
    <w:rsid w:val="009E1104"/>
    <w:rsid w:val="009E5A0D"/>
    <w:rsid w:val="00A2569E"/>
    <w:rsid w:val="00A30B4F"/>
    <w:rsid w:val="00A50CC2"/>
    <w:rsid w:val="00A561B4"/>
    <w:rsid w:val="00A67367"/>
    <w:rsid w:val="00A71FEB"/>
    <w:rsid w:val="00A74FCF"/>
    <w:rsid w:val="00A848C8"/>
    <w:rsid w:val="00AC0F85"/>
    <w:rsid w:val="00AC31C1"/>
    <w:rsid w:val="00AC7F12"/>
    <w:rsid w:val="00AE60D2"/>
    <w:rsid w:val="00B15821"/>
    <w:rsid w:val="00B479D8"/>
    <w:rsid w:val="00B54B59"/>
    <w:rsid w:val="00B754FD"/>
    <w:rsid w:val="00B817D8"/>
    <w:rsid w:val="00B8403A"/>
    <w:rsid w:val="00BA047C"/>
    <w:rsid w:val="00BB1978"/>
    <w:rsid w:val="00BD5797"/>
    <w:rsid w:val="00BE20CD"/>
    <w:rsid w:val="00BE35CE"/>
    <w:rsid w:val="00C07764"/>
    <w:rsid w:val="00C11E5A"/>
    <w:rsid w:val="00C25A86"/>
    <w:rsid w:val="00C26CC7"/>
    <w:rsid w:val="00C31E0F"/>
    <w:rsid w:val="00C36E8A"/>
    <w:rsid w:val="00C60840"/>
    <w:rsid w:val="00C72267"/>
    <w:rsid w:val="00CA0B0C"/>
    <w:rsid w:val="00CA3D2A"/>
    <w:rsid w:val="00CA5AC4"/>
    <w:rsid w:val="00CB4B3B"/>
    <w:rsid w:val="00CD73CE"/>
    <w:rsid w:val="00CE400B"/>
    <w:rsid w:val="00D01F64"/>
    <w:rsid w:val="00D12EB9"/>
    <w:rsid w:val="00D30865"/>
    <w:rsid w:val="00D32A6C"/>
    <w:rsid w:val="00D34D05"/>
    <w:rsid w:val="00D3670B"/>
    <w:rsid w:val="00D46042"/>
    <w:rsid w:val="00D47083"/>
    <w:rsid w:val="00D523FE"/>
    <w:rsid w:val="00D635D1"/>
    <w:rsid w:val="00D655CF"/>
    <w:rsid w:val="00DB1750"/>
    <w:rsid w:val="00DC554A"/>
    <w:rsid w:val="00DC5627"/>
    <w:rsid w:val="00DD0651"/>
    <w:rsid w:val="00DF2443"/>
    <w:rsid w:val="00DF4B66"/>
    <w:rsid w:val="00E07CCB"/>
    <w:rsid w:val="00E24C75"/>
    <w:rsid w:val="00E4692E"/>
    <w:rsid w:val="00E55220"/>
    <w:rsid w:val="00E63F8D"/>
    <w:rsid w:val="00E83988"/>
    <w:rsid w:val="00E956F1"/>
    <w:rsid w:val="00EB0901"/>
    <w:rsid w:val="00F03343"/>
    <w:rsid w:val="00F33DE7"/>
    <w:rsid w:val="00F34434"/>
    <w:rsid w:val="00F64B97"/>
    <w:rsid w:val="00FA7C18"/>
    <w:rsid w:val="00FB01C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536C-E254-41DE-AAF0-100E19A9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52F367C9</Template>
  <TotalTime>1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vl. Torsney</dc:creator>
  <cp:lastModifiedBy>John a. McDaid</cp:lastModifiedBy>
  <cp:revision>3</cp:revision>
  <cp:lastPrinted>2020-01-09T08:39:00Z</cp:lastPrinted>
  <dcterms:created xsi:type="dcterms:W3CDTF">2020-01-17T10:27:00Z</dcterms:created>
  <dcterms:modified xsi:type="dcterms:W3CDTF">2020-01-17T10:28:00Z</dcterms:modified>
</cp:coreProperties>
</file>